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5357, Performed Date: 20/11/2018 12:46</w:t>
      </w:r>
    </w:p>
    <w:p>
      <w:pPr>
        <w:pStyle w:val="Heading2"/>
      </w:pPr>
      <w:r>
        <w:t>Raw Radiology Report Extracted</w:t>
      </w:r>
    </w:p>
    <w:p>
      <w:r>
        <w:t>Visit Number: d0cab5802317384bf00ac62c3683bd11b807d5ef40a0e29fb0f4487bdceb8f99</w:t>
      </w:r>
    </w:p>
    <w:p>
      <w:r>
        <w:t>Masked_PatientID: 5357</w:t>
      </w:r>
    </w:p>
    <w:p>
      <w:r>
        <w:t>Order ID: ae1157dfcb0a4d6cc1a6fc66206d7a04635370089bfb316cbe87184785f5db24</w:t>
      </w:r>
    </w:p>
    <w:p>
      <w:r>
        <w:t>Order Name: Chest X-ray Lateral (Specify Side)</w:t>
      </w:r>
    </w:p>
    <w:p>
      <w:r>
        <w:t>Result Item Code: CHE-LAT</w:t>
      </w:r>
    </w:p>
    <w:p>
      <w:r>
        <w:t>Performed Date Time: 20/11/2018 12:46</w:t>
      </w:r>
    </w:p>
    <w:p>
      <w:r>
        <w:t>Line Num: 1</w:t>
      </w:r>
    </w:p>
    <w:p>
      <w:r>
        <w:t>Text:       HISTORY L retrocardiac CAP for resolution REPORT The cardiac shadow is normal in size.  There is resolution of the infective changes in the left lower zone compared with  the image dated 6 Oct 2018.  No other consolidation hasdeveloped.  Both the costophrenic angles are sharp.   Normal Finalised by: &lt;DOCTOR&gt;</w:t>
      </w:r>
    </w:p>
    <w:p>
      <w:r>
        <w:t>Accession Number: 13e7848fc58cab2c48e7dec55ae963f424b4ed2d8093885927d2571dbbd377a7</w:t>
      </w:r>
    </w:p>
    <w:p>
      <w:r>
        <w:t>Updated Date Time: 21/11/2018 9:10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