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5431, Performed Date: 07/3/2016 23:28</w:t>
      </w:r>
    </w:p>
    <w:p>
      <w:pPr>
        <w:pStyle w:val="Heading2"/>
      </w:pPr>
      <w:r>
        <w:t>Raw Radiology Report Extracted</w:t>
      </w:r>
    </w:p>
    <w:p>
      <w:r>
        <w:t>Visit Number: 85d101607b8b1afc9dbb5f882cb4410f6c554441a706e87b292094a95b906e09</w:t>
      </w:r>
    </w:p>
    <w:p>
      <w:r>
        <w:t>Masked_PatientID: 5431</w:t>
      </w:r>
    </w:p>
    <w:p>
      <w:r>
        <w:t>Order ID: c9d595ce4e03dab9b909cc67dd082e39a976ca1918ac8898095230bd1749a8ed</w:t>
      </w:r>
    </w:p>
    <w:p>
      <w:r>
        <w:t>Order Name: Chest X-ray, Erect</w:t>
      </w:r>
    </w:p>
    <w:p>
      <w:r>
        <w:t>Result Item Code: CHE-ER</w:t>
      </w:r>
    </w:p>
    <w:p>
      <w:r>
        <w:t>Performed Date Time: 07/3/2016 23:28</w:t>
      </w:r>
    </w:p>
    <w:p>
      <w:r>
        <w:t>Line Num: 1</w:t>
      </w:r>
    </w:p>
    <w:p>
      <w:r>
        <w:t>Text:       HISTORY biphasic wheeze diffuse fever with cough X 1/52 REPORT  The cardiac size appears normal.  Cystic lucencies in bilateral lungs more on the  right side likely represent bronchiectasis.  The air space opacities are also notedin the right mid and lower zones likely due to infective aetiology.  Blunting of  the left costophrenic angle may represent minimal effusion.   May need further action Finalised by: &lt;DOCTOR&gt;</w:t>
      </w:r>
    </w:p>
    <w:p>
      <w:r>
        <w:t>Accession Number: 1dc80e124b8a83e7010ebda882f0726a92f6df3246c2740e66d810ef3eb272e6</w:t>
      </w:r>
    </w:p>
    <w:p>
      <w:r>
        <w:t>Updated Date Time: 08/3/2016 19:28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