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16/11/2019 0:03</w:t>
      </w:r>
    </w:p>
    <w:p>
      <w:pPr>
        <w:pStyle w:val="Heading2"/>
      </w:pPr>
      <w:r>
        <w:t>Raw Radiology Report Extracted</w:t>
      </w:r>
    </w:p>
    <w:p>
      <w:r>
        <w:t>Visit Number: 78ebc502215a4b831dda8c0747ee33c0177d4b6f7d7fe3c8022dc068d16b12ae</w:t>
      </w:r>
    </w:p>
    <w:p>
      <w:r>
        <w:t>Masked_PatientID: 589</w:t>
      </w:r>
    </w:p>
    <w:p>
      <w:r>
        <w:t>Order ID: 2a82778d6f8a88d4dc1af8c722c39106939cb73db4bab45818ef531ea14faf40</w:t>
      </w:r>
    </w:p>
    <w:p>
      <w:r>
        <w:t>Order Name: Chest X-ray</w:t>
      </w:r>
    </w:p>
    <w:p>
      <w:r>
        <w:t>Result Item Code: CHE-NOV</w:t>
      </w:r>
    </w:p>
    <w:p>
      <w:r>
        <w:t>Performed Date Time: 16/11/2019 0:03</w:t>
      </w:r>
    </w:p>
    <w:p>
      <w:r>
        <w:t>Line Num: 1</w:t>
      </w:r>
    </w:p>
    <w:p>
      <w:r>
        <w:t>Text: HISTORY  sob low sats REPORT The previous chest radiograph dated 11 November 2019 was reviewed. The heart size cannot be accurately assessed in the AP projection. Prior coronary  stenting is noted. Note is again made of diffuse reticulonodular opacities in the bilateral lung fields  which is in keeping with known history of interstitial lung disease, unchanged in  appearance compared to before. No sizable pleural effusion is seen. An old left mid clavicular fracture is noted withnon-union. Report Indicator: May need further action Finalised by: &lt;DOCTOR&gt;</w:t>
      </w:r>
    </w:p>
    <w:p>
      <w:r>
        <w:t>Accession Number: 628ac2c2731348bf02440529ce8a241e6806925044a78cc402dbb66895996fe3</w:t>
      </w:r>
    </w:p>
    <w:p>
      <w:r>
        <w:t>Updated Date Time: 16/11/2019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