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30/5/2016 13:26</w:t>
      </w:r>
    </w:p>
    <w:p>
      <w:pPr>
        <w:pStyle w:val="Heading2"/>
      </w:pPr>
      <w:r>
        <w:t>Raw Radiology Report Extracted</w:t>
      </w:r>
    </w:p>
    <w:p>
      <w:r>
        <w:t>Visit Number: 7fc8e327f8bc3633ded23b044e7fdb65c423da479a79977c937543f21b0af0ad</w:t>
      </w:r>
    </w:p>
    <w:p>
      <w:r>
        <w:t>Masked_PatientID: 948</w:t>
      </w:r>
    </w:p>
    <w:p>
      <w:r>
        <w:t>Order ID: 039d344fec7ca624a0505bb20096a75b2c9809236a11f20e42fb38185e8af362</w:t>
      </w:r>
    </w:p>
    <w:p>
      <w:r>
        <w:t>Order Name: Chest X-ray</w:t>
      </w:r>
    </w:p>
    <w:p>
      <w:r>
        <w:t>Result Item Code: CHE-NOV</w:t>
      </w:r>
    </w:p>
    <w:p>
      <w:r>
        <w:t>Performed Date Time: 30/5/2016 13:26</w:t>
      </w:r>
    </w:p>
    <w:p>
      <w:r>
        <w:t>Line Num: 1</w:t>
      </w:r>
    </w:p>
    <w:p>
      <w:r>
        <w:t>Text:       HISTORY desat REPORT  Previous chest radiograph dated 29 May 2016 was reviewed. The central venous catheter and nasogastric tube are largely unchanged in position.  The cardiac size cannot be assessed in this AP radiograph.  Diffuse air space opacities  are again noted in both lungs, appearing slightly more confluent in this radiograph.   Small bilateral pleural effusions persist. A vascular coil is seen in the right hypochondrium.   May need further action Finalised by: &lt;DOCTOR&gt;</w:t>
      </w:r>
    </w:p>
    <w:p>
      <w:r>
        <w:t>Accession Number: 29cbf12ef8c628519c194dcbf23284756a2b2357fdd114679cb67658720c2714</w:t>
      </w:r>
    </w:p>
    <w:p>
      <w:r>
        <w:t>Updated Date Time: 31/5/2016 10:09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