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1061, Performed Date: 14/3/2016 21:50</w:t>
      </w:r>
    </w:p>
    <w:p>
      <w:pPr>
        <w:pStyle w:val="Heading2"/>
      </w:pPr>
      <w:r>
        <w:t>Raw Radiology Report Extracted</w:t>
      </w:r>
    </w:p>
    <w:p>
      <w:r>
        <w:t>Visit Number: b471b2962bd6481c0994d87ed581ad0bd0f9b766a7a6731300be3ff5a1500e3d</w:t>
      </w:r>
    </w:p>
    <w:p>
      <w:r>
        <w:t>Masked_PatientID: 1061</w:t>
      </w:r>
    </w:p>
    <w:p>
      <w:r>
        <w:t>Order ID: 889d37786de46b6aaa993f0ef090b9fd6946a1c361a04562a02971cfdc7586e8</w:t>
      </w:r>
    </w:p>
    <w:p>
      <w:r>
        <w:t>Order Name: Chest X-ray</w:t>
      </w:r>
    </w:p>
    <w:p>
      <w:r>
        <w:t>Result Item Code: CHE-NOV</w:t>
      </w:r>
    </w:p>
    <w:p>
      <w:r>
        <w:t>Performed Date Time: 14/3/2016 21:50</w:t>
      </w:r>
    </w:p>
    <w:p>
      <w:r>
        <w:t>Line Num: 1</w:t>
      </w:r>
    </w:p>
    <w:p>
      <w:r>
        <w:t>Text:       HISTORY diarrhoea x 5/7; lethargic, mild exertional dyspnoea TRO chest infection REPORT The chest radiograph of 24 June 2015 was reviewed. Suboptimal inspiratory effort is seen. Post CABG status.  The heart appears enlargeddespite the supine projection. The aorta is unfolded with  calcification of its arch. There are patchy air space opacities in both hemithoraces which may be due to a fluid  overload state or infective change.   May need further action Reported by: &lt;DOCTOR&gt;</w:t>
      </w:r>
    </w:p>
    <w:p>
      <w:r>
        <w:t>Accession Number: 67007463508b82a521b2e22f6c94cc6d331f923d5a977510d8c522e828cad181</w:t>
      </w:r>
    </w:p>
    <w:p>
      <w:r>
        <w:t>Updated Date Time: 15/3/2016 15:27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