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1222, Performed Date: 13/4/2015 15:30</w:t>
      </w:r>
    </w:p>
    <w:p>
      <w:pPr>
        <w:pStyle w:val="Heading2"/>
      </w:pPr>
      <w:r>
        <w:t>Raw Radiology Report Extracted</w:t>
      </w:r>
    </w:p>
    <w:p>
      <w:r>
        <w:t>Visit Number: 1ae86246ca300e2da28552e87ecd2d69ea05342327fff6d058703ee7d7f6fc37</w:t>
      </w:r>
    </w:p>
    <w:p>
      <w:r>
        <w:t>Masked_PatientID: 1222</w:t>
      </w:r>
    </w:p>
    <w:p>
      <w:r>
        <w:t>Order ID: b8d5a44009ac218ca39a052c3f4c4ac76f70f079209e4804d0139ac6e0dca183</w:t>
      </w:r>
    </w:p>
    <w:p>
      <w:r>
        <w:t>Order Name: Chest X-ray</w:t>
      </w:r>
    </w:p>
    <w:p>
      <w:r>
        <w:t>Result Item Code: CHE-NOV</w:t>
      </w:r>
    </w:p>
    <w:p>
      <w:r>
        <w:t>Performed Date Time: 13/4/2015 15:30</w:t>
      </w:r>
    </w:p>
    <w:p>
      <w:r>
        <w:t>Line Num: 1</w:t>
      </w:r>
    </w:p>
    <w:p>
      <w:r>
        <w:t>Text:       HISTORY TRO fluid overload REPORT  Sternotomy wires are observed in situ.  The heart appears slightly enlarged. There is airspace shadowing in the lungs bilaterally with signs of fluid overload   May need further action Finalised by: &lt;DOCTOR&gt;</w:t>
      </w:r>
    </w:p>
    <w:p>
      <w:r>
        <w:t>Accession Number: 92c6a6157de3ec7d22be0a4b5bee5f1f1b842af4ef4fa7ec7a97a1aadfd3bc17</w:t>
      </w:r>
    </w:p>
    <w:p>
      <w:r>
        <w:t>Updated Date Time: 14/4/2015 19:05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