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1229, Performed Date: 27/2/2018 15:25</w:t>
      </w:r>
    </w:p>
    <w:p>
      <w:pPr>
        <w:pStyle w:val="Heading2"/>
      </w:pPr>
      <w:r>
        <w:t>Raw Radiology Report Extracted</w:t>
      </w:r>
    </w:p>
    <w:p>
      <w:r>
        <w:t>Visit Number: 26c2d7cb24639545edd317e2faf791c5058fc5aa9a05ad477a8133afbe52782c</w:t>
      </w:r>
    </w:p>
    <w:p>
      <w:r>
        <w:t>Masked_PatientID: 1229</w:t>
      </w:r>
    </w:p>
    <w:p>
      <w:r>
        <w:t>Order ID: ba497916bba77474ba51fe47e307a5f7fc31e6354166f78bcbd85983fa2fdbc4</w:t>
      </w:r>
    </w:p>
    <w:p>
      <w:r>
        <w:t>Order Name: Chest X-ray</w:t>
      </w:r>
    </w:p>
    <w:p>
      <w:r>
        <w:t>Result Item Code: CHE-NOV</w:t>
      </w:r>
    </w:p>
    <w:p>
      <w:r>
        <w:t>Performed Date Time: 27/2/2018 15:25</w:t>
      </w:r>
    </w:p>
    <w:p>
      <w:r>
        <w:t>Line Num: 1</w:t>
      </w:r>
    </w:p>
    <w:p>
      <w:r>
        <w:t>Text:       HISTORY Stroke REPORT   The cardiac size is top normal.  No active lung lesion is identified.  There is no  free subdiaphragmatic gas.   Known / Minor  Finalised by: &lt;DOCTOR&gt;</w:t>
      </w:r>
    </w:p>
    <w:p>
      <w:r>
        <w:t>Accession Number: 83ebd90124a904610f3f8de7d087b68cb6deacb48ecb5bfc93c4f4e0414f240f</w:t>
      </w:r>
    </w:p>
    <w:p>
      <w:r>
        <w:t>Updated Date Time: 01/3/2018 11:51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