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1351, Performed Date: 19/4/2016 23:04</w:t>
      </w:r>
    </w:p>
    <w:p>
      <w:pPr>
        <w:pStyle w:val="Heading2"/>
      </w:pPr>
      <w:r>
        <w:t>Raw Radiology Report Extracted</w:t>
      </w:r>
    </w:p>
    <w:p>
      <w:r>
        <w:t>Visit Number: 6447eeb0dca34f8893580eff7b45ab433bfaf6e3fc67d70e869814bd375b83eb</w:t>
      </w:r>
    </w:p>
    <w:p>
      <w:r>
        <w:t>Masked_PatientID: 1351</w:t>
      </w:r>
    </w:p>
    <w:p>
      <w:r>
        <w:t>Order ID: 9b9324f519c2314bb2a38f8062d30c58d52cc5d933443ac7474403275dba785d</w:t>
      </w:r>
    </w:p>
    <w:p>
      <w:r>
        <w:t>Order Name: Chest X-ray</w:t>
      </w:r>
    </w:p>
    <w:p>
      <w:r>
        <w:t>Result Item Code: CHE-NOV</w:t>
      </w:r>
    </w:p>
    <w:p>
      <w:r>
        <w:t>Performed Date Time: 19/4/2016 23:04</w:t>
      </w:r>
    </w:p>
    <w:p>
      <w:r>
        <w:t>Line Num: 1</w:t>
      </w:r>
    </w:p>
    <w:p>
      <w:r>
        <w:t>Text:       HISTORY hyperglycemia REPORT  The heart shadow is normal in size.  There is early calcification of the aorta.   No active lung lesion is seen.   Known / Minor  Finalised by: &lt;DOCTOR&gt;</w:t>
      </w:r>
    </w:p>
    <w:p>
      <w:r>
        <w:t>Accession Number: 8aba479a4b3040322cf146c970aa08f6ee273a28964832f475b36df1dfeb33cd</w:t>
      </w:r>
    </w:p>
    <w:p>
      <w:r>
        <w:t>Updated Date Time: 20/4/2016 11:30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