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17/4/2019 5:44</w:t>
      </w:r>
    </w:p>
    <w:p>
      <w:pPr>
        <w:pStyle w:val="Heading2"/>
      </w:pPr>
      <w:r>
        <w:t>Raw Radiology Report Extracted</w:t>
      </w:r>
    </w:p>
    <w:p>
      <w:r>
        <w:t>Visit Number: f6236cd7c26d13819c87bcff64b21ffd7e1fa094e1a7bc82c3029c86e3164762</w:t>
      </w:r>
    </w:p>
    <w:p>
      <w:r>
        <w:t>Masked_PatientID: 1800</w:t>
      </w:r>
    </w:p>
    <w:p>
      <w:r>
        <w:t>Order ID: 02050dde151f853c51fed714b124375a3970ce1b8349f9d28ba9e2b35355c319</w:t>
      </w:r>
    </w:p>
    <w:p>
      <w:r>
        <w:t>Order Name: Chest X-ray</w:t>
      </w:r>
    </w:p>
    <w:p>
      <w:r>
        <w:t>Result Item Code: CHE-NOV</w:t>
      </w:r>
    </w:p>
    <w:p>
      <w:r>
        <w:t>Performed Date Time: 17/4/2019 5:44</w:t>
      </w:r>
    </w:p>
    <w:p>
      <w:r>
        <w:t>Line Num: 1</w:t>
      </w:r>
    </w:p>
    <w:p>
      <w:r>
        <w:t>Text: HISTORY  fluid overload, to check fluid status REPORT Comparison previous radiograph 9 April 2019. Position of the PICC line is unchanged.  Interval worsening bilateral perihilar and right lower zone air space opacification.  The left lower zone air space opacification remains unchanged. Kerley B lines in  both lower zones are compatible with interstitial oedema. There is however interval  improvement of the previous bilateral pleural effusions. Findings suggest evolving  fluid overloador pulmonary oedema however superimposed infection cannot be excluded. Report Indicator:   May need further action Finalised by: &lt;DOCTOR&gt;</w:t>
      </w:r>
    </w:p>
    <w:p>
      <w:r>
        <w:t>Accession Number: cf220dc94ce726b2578aea4d91401d90a26256fe4f319900e4302542225d45cf</w:t>
      </w:r>
    </w:p>
    <w:p>
      <w:r>
        <w:t>Updated Date Time: 18/4/2019 7:38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