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1845, Performed Date: 21/7/2016 23:56</w:t>
      </w:r>
    </w:p>
    <w:p>
      <w:pPr>
        <w:pStyle w:val="Heading2"/>
      </w:pPr>
      <w:r>
        <w:t>Raw Radiology Report Extracted</w:t>
      </w:r>
    </w:p>
    <w:p>
      <w:r>
        <w:t>Visit Number: 37f18ef8690696b09f7d5d147cca6555866ba7c8b178ecd77bcf9badd78c6ccb</w:t>
      </w:r>
    </w:p>
    <w:p>
      <w:r>
        <w:t>Masked_PatientID: 1845</w:t>
      </w:r>
    </w:p>
    <w:p>
      <w:r>
        <w:t>Order ID: 731550dc8fa9d7f29a2353cc3faf5651516c3ba543684bfffe29debb51e6aed6</w:t>
      </w:r>
    </w:p>
    <w:p>
      <w:r>
        <w:t>Order Name: Chest X-ray</w:t>
      </w:r>
    </w:p>
    <w:p>
      <w:r>
        <w:t>Result Item Code: CHE-NOV</w:t>
      </w:r>
    </w:p>
    <w:p>
      <w:r>
        <w:t>Performed Date Time: 21/7/2016 23:56</w:t>
      </w:r>
    </w:p>
    <w:p>
      <w:r>
        <w:t>Line Num: 1</w:t>
      </w:r>
    </w:p>
    <w:p>
      <w:r>
        <w:t>Text:       HISTORY ?LRTI REPORT The heart size is normal. There is an ill-defined, 4 x 2.5 cm opacity projected over the region of the left  mid to lower zone.  This is nonspecific and is of indeterminate nature. Please correlate  with clinical findings. If clinically indicated, cross-sectional imaging may be helpful  for further evaluation.  No pleural effusion is seen.     Further action or early intervention required Reported by: &lt;DOCTOR&gt;</w:t>
      </w:r>
    </w:p>
    <w:p>
      <w:r>
        <w:t>Accession Number: 6e42c73013a7e6161ec8ec6917f25b77922429dbd4c1ca4836eb3abd97d9595b</w:t>
      </w:r>
    </w:p>
    <w:p>
      <w:r>
        <w:t>Updated Date Time: 22/7/2016 14:20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