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2320, Performed Date: 16/1/2016 11:51</w:t>
      </w:r>
    </w:p>
    <w:p>
      <w:pPr>
        <w:pStyle w:val="Heading2"/>
      </w:pPr>
      <w:r>
        <w:t>Raw Radiology Report Extracted</w:t>
      </w:r>
    </w:p>
    <w:p>
      <w:r>
        <w:t>Visit Number: 1516ff4809a78e3d502fbffdbab9ade030f06a26d4d390e85b5d309955d50cac</w:t>
      </w:r>
    </w:p>
    <w:p>
      <w:r>
        <w:t>Masked_PatientID: 2320</w:t>
      </w:r>
    </w:p>
    <w:p>
      <w:r>
        <w:t>Order ID: db40d710707242d748d4f85d290f276ed6017b2848f083693a66dabe38ec34ec</w:t>
      </w:r>
    </w:p>
    <w:p>
      <w:r>
        <w:t>Order Name: Chest X-ray, Erect</w:t>
      </w:r>
    </w:p>
    <w:p>
      <w:r>
        <w:t>Result Item Code: CHE-ER</w:t>
      </w:r>
    </w:p>
    <w:p>
      <w:r>
        <w:t>Performed Date Time: 16/1/2016 11:51</w:t>
      </w:r>
    </w:p>
    <w:p>
      <w:r>
        <w:t>Line Num: 1</w:t>
      </w:r>
    </w:p>
    <w:p>
      <w:r>
        <w:t>Text:       HISTORY palpitations/chest discomfort REPORT The heart size is enlarged. Blunting of the costophrenic sulci may represent small pleural effusions or pleural  thickening. Prominence of the pulmonary vasculature is noted.   Mayneed further action Finalised by: &lt;DOCTOR&gt;</w:t>
      </w:r>
    </w:p>
    <w:p>
      <w:r>
        <w:t>Accession Number: 513a21f9c8dccf4fc7f86c5c5a746a254c14e2f6dfe58288ba080cc175c4bdcc</w:t>
      </w:r>
    </w:p>
    <w:p>
      <w:r>
        <w:t>Updated Date Time: 17/1/2016 9:13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