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22/12/2016 19:00</w:t>
      </w:r>
    </w:p>
    <w:p>
      <w:pPr>
        <w:pStyle w:val="Heading2"/>
      </w:pPr>
      <w:r>
        <w:t>Raw Radiology Report Extracted</w:t>
      </w:r>
    </w:p>
    <w:p>
      <w:r>
        <w:t>Visit Number: c2b18c051f8c81c36e662adbd6750d8ef4fa69f3de227a32822e3576f9f10ec3</w:t>
      </w:r>
    </w:p>
    <w:p>
      <w:r>
        <w:t>Masked_PatientID: 2498</w:t>
      </w:r>
    </w:p>
    <w:p>
      <w:r>
        <w:t>Order ID: 24b93c9022621f875ba266c743327a7fee6bdda6ffc71787b5216bd648de5113</w:t>
      </w:r>
    </w:p>
    <w:p>
      <w:r>
        <w:t>Order Name: Chest X-ray</w:t>
      </w:r>
    </w:p>
    <w:p>
      <w:r>
        <w:t>Result Item Code: CHE-NOV</w:t>
      </w:r>
    </w:p>
    <w:p>
      <w:r>
        <w:t>Performed Date Time: 22/12/2016 19:00</w:t>
      </w:r>
    </w:p>
    <w:p>
      <w:r>
        <w:t>Line Num: 1</w:t>
      </w:r>
    </w:p>
    <w:p>
      <w:r>
        <w:t>Text:       HISTORY avr REPORT  Comparison dated 20/12/2016. Endotracheal tube tip is seen approximately 5.4 cm above the carina.  There is interval  placement of a left internal jugular approach central venous catheter with the tip  projecting in the expected location of the brachiocephalic vein.  Right internal  jugular approach central venous catheter tip projects over the expected location  of the SVC. Bilateral chest tubes are noted. The cardiac silhouette cannot be adequately assessed on this projection.  Midline  sternotomy wires and surgical clips are again cardiomediastinal silhouette.  Aortic  valve prosthesis is now noted. Epicardial pacer wires are also now noted. Compared to the prior study, there are worsening confluent air space opacities in  the left mid and upper lung zones and slight worsening of bilateral basal air space  opacities.  While this is likely largely due to pulmonary alveolar oedema, underlying  infection is not totally excluded.  No sizable pleural effusion or pneumothorax is  detected. Degenerative changes are again noted of the imaged spine.  Soft tissues and osseous  structures are otherwise unchanged.   May need further action Finalised by: &lt;DOCTOR&gt;</w:t>
      </w:r>
    </w:p>
    <w:p>
      <w:r>
        <w:t>Accession Number: 9ad4bed5cb6f6f23c30cbe34fbb1885b23ad41e5b37fd4df4e971954c7b4ecb4</w:t>
      </w:r>
    </w:p>
    <w:p>
      <w:r>
        <w:t>Updated Date Time: 23/12/2016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