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08/9/2019 17:54</w:t>
      </w:r>
    </w:p>
    <w:p>
      <w:pPr>
        <w:pStyle w:val="Heading2"/>
      </w:pPr>
      <w:r>
        <w:t>Raw Radiology Report Extracted</w:t>
      </w:r>
    </w:p>
    <w:p>
      <w:r>
        <w:t>Visit Number: 31b9c4628007bd8a106272ff1e95d604d7ac8cf777485a20c818f7c45a63e043</w:t>
      </w:r>
    </w:p>
    <w:p>
      <w:r>
        <w:t>Masked_PatientID: 301</w:t>
      </w:r>
    </w:p>
    <w:p>
      <w:r>
        <w:t>Order ID: cd11147abf9c0460652f6da4aa76179cebc884ac4b1e1b63d9806113fa6709cb</w:t>
      </w:r>
    </w:p>
    <w:p>
      <w:r>
        <w:t>Order Name: Chest X-ray, Erect</w:t>
      </w:r>
    </w:p>
    <w:p>
      <w:r>
        <w:t>Result Item Code: CHE-ER</w:t>
      </w:r>
    </w:p>
    <w:p>
      <w:r>
        <w:t>Performed Date Time: 08/9/2019 17:54</w:t>
      </w:r>
    </w:p>
    <w:p>
      <w:r>
        <w:t>Line Num: 1</w:t>
      </w:r>
    </w:p>
    <w:p>
      <w:r>
        <w:t>Text: HISTORY  fever REPORT Previous chest radiograph from 10 January 2019 was reviewed. The heart size is normal. Coronary stent in situ. Interval development of patchy air space opacity in the right lower zone may represent  an underlying infection. Recommend short interval follow-up in 46 weeks to document  complete resolution. Linear atelectasis is seen in the left lower zone. Stable linear  metallic density noted in the right upper zone. No sizeable pleural effusion detected. Prior lower thoracic vertebroplasty noted. Report Indicator: May need further action Reported by: &lt;DOCTOR&gt;</w:t>
      </w:r>
    </w:p>
    <w:p>
      <w:r>
        <w:t>Accession Number: cf109e4db0673d7bd7a840b6c216b5173d7a3e51d3da0ad3a00ec0abb15a432d</w:t>
      </w:r>
    </w:p>
    <w:p>
      <w:r>
        <w:t>Updated Date Time: 09/9/2019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