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378, Performed Date: 29/11/2019 4:53</w:t>
      </w:r>
    </w:p>
    <w:p>
      <w:pPr>
        <w:pStyle w:val="Heading2"/>
      </w:pPr>
      <w:r>
        <w:t>Raw Radiology Report Extracted</w:t>
      </w:r>
    </w:p>
    <w:p>
      <w:r>
        <w:t>Visit Number: e7795ec4284cb2cbf3f9fb3037652bc28128d2a4309a85f4917b77c8311c5ddb</w:t>
      </w:r>
    </w:p>
    <w:p>
      <w:r>
        <w:t>Masked_PatientID: 378</w:t>
      </w:r>
    </w:p>
    <w:p>
      <w:r>
        <w:t>Order ID: a79493d1955ddce65a76130c0a1a4225c948fc95085196b76319b98712a6729e</w:t>
      </w:r>
    </w:p>
    <w:p>
      <w:r>
        <w:t>Order Name: Chest X-ray</w:t>
      </w:r>
    </w:p>
    <w:p>
      <w:r>
        <w:t>Result Item Code: CHE-NOV</w:t>
      </w:r>
    </w:p>
    <w:p>
      <w:r>
        <w:t>Performed Date Time: 29/11/2019 4:53</w:t>
      </w:r>
    </w:p>
    <w:p>
      <w:r>
        <w:t>Line Num: 1</w:t>
      </w:r>
    </w:p>
    <w:p>
      <w:r>
        <w:t>Text: HISTORY  RTA post thoracotomy and post VATS rib fixation REPORT Previous chest radiograph dated 28 November 2019 was reviewed. The nasogastric tube, right central venous catheter and left upper and lower zone  chest drains are largely unchanged in position. Median sternotomy wires, surgical  staples and left lateral rib fixation is noted. Bilateral rib fractures are again  noted. Left lower zone air space opacities are largely similar. Small bilateral pleural  effusions persist. Report Indicator: May need further action Finalised by: &lt;DOCTOR&gt;</w:t>
      </w:r>
    </w:p>
    <w:p>
      <w:r>
        <w:t>Accession Number: 30a3a1541142efbbcd3b822e7de0ef9cfe0cc7cbe48107b08b2e74c8e8545559</w:t>
      </w:r>
    </w:p>
    <w:p>
      <w:r>
        <w:t>Updated Date Time: 29/11/2019 15:30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