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30/11/2019 14:28</w:t>
      </w:r>
    </w:p>
    <w:p>
      <w:pPr>
        <w:pStyle w:val="Heading2"/>
      </w:pPr>
      <w:r>
        <w:t>Raw Radiology Report Extracted</w:t>
      </w:r>
    </w:p>
    <w:p>
      <w:r>
        <w:t>Visit Number: e7795ec4284cb2cbf3f9fb3037652bc28128d2a4309a85f4917b77c8311c5ddb</w:t>
      </w:r>
    </w:p>
    <w:p>
      <w:r>
        <w:t>Masked_PatientID: 378</w:t>
      </w:r>
    </w:p>
    <w:p>
      <w:r>
        <w:t>Order ID: 558441ada5757563691858f58a709a331af51973b6af3ab2738217fa7447f0dc</w:t>
      </w:r>
    </w:p>
    <w:p>
      <w:r>
        <w:t>Order Name: Chest X-ray, Erect</w:t>
      </w:r>
    </w:p>
    <w:p>
      <w:r>
        <w:t>Result Item Code: CHE-ER</w:t>
      </w:r>
    </w:p>
    <w:p>
      <w:r>
        <w:t>Performed Date Time: 30/11/2019 14:28</w:t>
      </w:r>
    </w:p>
    <w:p>
      <w:r>
        <w:t>Line Num: 1</w:t>
      </w:r>
    </w:p>
    <w:p>
      <w:r>
        <w:t>Text: HISTORY  heamothorax REPORT Prior radiograph of 29 Nov 2019 reviewed. Tip of feeding tube projected in the left upper quadrant. Stable position of right  central venous catheter.  Surgical staples and sternotomy wires noted. Fixation devices of the left sided ribs  noted. Bilateral rib fractures again seen. Left basal pleural drain in situ. Interval  removal of left upper pleural drain. No significant change to bilateral pleural effusions.   No large pneumothorax discerned. Stable consolidation/atelectasis in both lower  zones. The heart size cannot be accurately assessed in this projection.  Report Indicator: May need further action Finalised by: &lt;DOCTOR&gt;</w:t>
      </w:r>
    </w:p>
    <w:p>
      <w:r>
        <w:t>Accession Number: 558eb27db1acaa7d170ee9a4e5cea60e5dfcdc00b783eaea990ddf7c4174b8ac</w:t>
      </w:r>
    </w:p>
    <w:p>
      <w:r>
        <w:t>Updated Date Time: 01/12/2019 20:26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