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 Performed Date: 08/2/2020 19:06</w:t>
      </w:r>
    </w:p>
    <w:p>
      <w:pPr>
        <w:pStyle w:val="Heading2"/>
      </w:pPr>
      <w:r>
        <w:t>Raw Radiology Report Extracted</w:t>
      </w:r>
    </w:p>
    <w:p>
      <w:r>
        <w:t>Visit Number: 5e37f4823e52f975229258092fd599ea6b311c639ff9ff2508589e89f9eb60bd</w:t>
      </w:r>
    </w:p>
    <w:p>
      <w:r>
        <w:t>Masked_PatientID: 446</w:t>
      </w:r>
    </w:p>
    <w:p>
      <w:r>
        <w:t>Order ID: 4c4bf74f4bca1786f38d16db120b58c43c99cc60c70df7633dea6930d7d57247</w:t>
      </w:r>
    </w:p>
    <w:p>
      <w:r>
        <w:t>Order Name: Chest X-ray</w:t>
      </w:r>
    </w:p>
    <w:p>
      <w:r>
        <w:t>Result Item Code: CHE-NOV</w:t>
      </w:r>
    </w:p>
    <w:p>
      <w:r>
        <w:t>Performed Date Time: 08/2/2020 19:06</w:t>
      </w:r>
    </w:p>
    <w:p>
      <w:r>
        <w:t>Line Num: 1</w:t>
      </w:r>
    </w:p>
    <w:p>
      <w:r>
        <w:t>Text:       HISTORY Interval scan previous bilateral pleural effusions REPORT The cardiac shadow is top normal in size.  There is resolution of the left basal lung changes and pleural effusion compared  with the image dated 21 January 2020.   Both the costophrenic angles are sharp.   Normal Finalised by: &lt;DOCTOR&gt;</w:t>
      </w:r>
    </w:p>
    <w:p>
      <w:r>
        <w:t>Accession Number: cb24dc264385d43649d72631a362df3f0530c1eb7cf06de9c55041dabe4a7392</w:t>
      </w:r>
    </w:p>
    <w:p>
      <w:r>
        <w:t>Updated Date Time: 10/2/2020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