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635, Performed Date: 20/8/2019 11:13</w:t>
      </w:r>
    </w:p>
    <w:p>
      <w:pPr>
        <w:pStyle w:val="Heading2"/>
      </w:pPr>
      <w:r>
        <w:t>Raw Radiology Report Extracted</w:t>
      </w:r>
    </w:p>
    <w:p>
      <w:r>
        <w:t>Visit Number: c6122b4d4ec54be1ec195ed108afde45e1b8bb1106d867fbf2a4c2def58e7069</w:t>
      </w:r>
    </w:p>
    <w:p>
      <w:r>
        <w:t>Masked_PatientID: 635</w:t>
      </w:r>
    </w:p>
    <w:p>
      <w:r>
        <w:t>Order ID: 6d7907c195adccf5c9e6a901bbab601ff960f6c4494c74992dfaddbeadbe49c4</w:t>
      </w:r>
    </w:p>
    <w:p>
      <w:r>
        <w:t>Order Name: Chest X-ray PA and Oblique</w:t>
      </w:r>
    </w:p>
    <w:p>
      <w:r>
        <w:t>Result Item Code: CHE-PAOBL</w:t>
      </w:r>
    </w:p>
    <w:p>
      <w:r>
        <w:t>Performed Date Time: 20/8/2019 11:13</w:t>
      </w:r>
    </w:p>
    <w:p>
      <w:r>
        <w:t>Line Num: 1</w:t>
      </w:r>
    </w:p>
    <w:p>
      <w:r>
        <w:t>Text: HISTORY  Thoracic Spondylosis; Left chest rib fracture REPORT The heart size and mediastinal configuration are normal. There is nondisplaced fracture  of the left ninth rib posterolateral aspect. No active lung lesion is seen. Report Indicator: May need further action Finalised by: &lt;DOCTOR&gt;</w:t>
      </w:r>
    </w:p>
    <w:p>
      <w:r>
        <w:t>Accession Number: 1f62f3caa6c019dc540a90925c1e7887b946000ae499ba6ccf767cbfa33fd7d0</w:t>
      </w:r>
    </w:p>
    <w:p>
      <w:r>
        <w:t>Updated Date Time: 20/8/2019 14:39</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