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22/8/2020 14:32</w:t>
      </w:r>
    </w:p>
    <w:p>
      <w:pPr>
        <w:pStyle w:val="Heading2"/>
      </w:pPr>
      <w:r>
        <w:t>Raw Radiology Report Extracted</w:t>
      </w:r>
    </w:p>
    <w:p>
      <w:r>
        <w:t>Visit Number: 59b6b409454082a458ddec9b8f1b7b2fc074cf60305ae237db3cbf3f506e202f</w:t>
      </w:r>
    </w:p>
    <w:p>
      <w:r>
        <w:t>Masked_PatientID: 649</w:t>
      </w:r>
    </w:p>
    <w:p>
      <w:r>
        <w:t>Order ID: b173b3a559b6a11b7805057daf7a9b9d4ed6447f07334c39ff7f4c1bdeeff0bc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22/8/2020 14:32</w:t>
      </w:r>
    </w:p>
    <w:p>
      <w:r>
        <w:t>Line Num: 1</w:t>
      </w:r>
    </w:p>
    <w:p>
      <w:r>
        <w:t>Text: HISTORY  exertional dyspnoea REPORT Comparison study 14/03/2020 and 06/03/2020. Midline sternotomy wires are intact. The heart size and mediastinal configuration are normal.  No active lung lesion is seen. Report Indicator: Known / Minor Finalised by: &lt;DOCTOR&gt;</w:t>
      </w:r>
    </w:p>
    <w:p>
      <w:r>
        <w:t>Accession Number: 55ea72e4be375e923a276c89b22b06bd1ecf6f9d850bd99738bdfcf6408079ce</w:t>
      </w:r>
    </w:p>
    <w:p>
      <w:r>
        <w:t>Updated Date Time: 22/8/2020 14:53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