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0B14AB" w14:textId="62B82E87" w:rsidR="00B30A68" w:rsidRDefault="001F2B35" w:rsidP="001F2B35">
      <w:pPr>
        <w:pStyle w:val="Title"/>
      </w:pPr>
      <w:r>
        <w:t>Supplementary Information</w:t>
      </w:r>
      <w:r w:rsidR="006D7FDF">
        <w:t xml:space="preserve"> of </w:t>
      </w:r>
    </w:p>
    <w:p w14:paraId="330414FE" w14:textId="77777777" w:rsidR="006D7FDF" w:rsidRDefault="006D7FDF" w:rsidP="006D7FDF">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t xml:space="preserve">Quantification of HAXPES: </w:t>
      </w:r>
      <w:r w:rsidRPr="00AA4AA9">
        <w:rPr>
          <w:rFonts w:asciiTheme="majorHAnsi" w:eastAsiaTheme="majorEastAsia" w:hAnsiTheme="majorHAnsi" w:cstheme="majorBidi"/>
          <w:spacing w:val="-10"/>
          <w:kern w:val="28"/>
          <w:sz w:val="56"/>
          <w:szCs w:val="56"/>
        </w:rPr>
        <w:t xml:space="preserve">Calculating Relative Sensitivity Factors </w:t>
      </w:r>
      <w:r>
        <w:rPr>
          <w:rFonts w:asciiTheme="majorHAnsi" w:eastAsiaTheme="majorEastAsia" w:hAnsiTheme="majorHAnsi" w:cstheme="majorBidi"/>
          <w:spacing w:val="-10"/>
          <w:kern w:val="28"/>
          <w:sz w:val="56"/>
          <w:szCs w:val="56"/>
        </w:rPr>
        <w:t>for 1.5 keV -</w:t>
      </w:r>
      <w:r w:rsidRPr="00AA4AA9">
        <w:rPr>
          <w:rFonts w:asciiTheme="majorHAnsi" w:eastAsiaTheme="majorEastAsia" w:hAnsiTheme="majorHAnsi" w:cstheme="majorBidi"/>
          <w:spacing w:val="-10"/>
          <w:kern w:val="28"/>
          <w:sz w:val="56"/>
          <w:szCs w:val="56"/>
        </w:rPr>
        <w:t xml:space="preserve"> 10 keV </w:t>
      </w:r>
      <w:r>
        <w:rPr>
          <w:rFonts w:asciiTheme="majorHAnsi" w:eastAsiaTheme="majorEastAsia" w:hAnsiTheme="majorHAnsi" w:cstheme="majorBidi"/>
          <w:spacing w:val="-10"/>
          <w:kern w:val="28"/>
          <w:sz w:val="56"/>
          <w:szCs w:val="56"/>
        </w:rPr>
        <w:t>Photons and</w:t>
      </w:r>
      <w:r w:rsidRPr="00AA4AA9">
        <w:rPr>
          <w:rFonts w:asciiTheme="majorHAnsi" w:eastAsiaTheme="majorEastAsia" w:hAnsiTheme="majorHAnsi" w:cstheme="majorBidi"/>
          <w:spacing w:val="-10"/>
          <w:kern w:val="28"/>
          <w:sz w:val="56"/>
          <w:szCs w:val="56"/>
        </w:rPr>
        <w:t xml:space="preserve"> any </w:t>
      </w:r>
      <w:r>
        <w:rPr>
          <w:rFonts w:asciiTheme="majorHAnsi" w:eastAsiaTheme="majorEastAsia" w:hAnsiTheme="majorHAnsi" w:cstheme="majorBidi"/>
          <w:spacing w:val="-10"/>
          <w:kern w:val="28"/>
          <w:sz w:val="56"/>
          <w:szCs w:val="56"/>
        </w:rPr>
        <w:t>I</w:t>
      </w:r>
      <w:r w:rsidRPr="00AA4AA9">
        <w:rPr>
          <w:rFonts w:asciiTheme="majorHAnsi" w:eastAsiaTheme="majorEastAsia" w:hAnsiTheme="majorHAnsi" w:cstheme="majorBidi"/>
          <w:spacing w:val="-10"/>
          <w:kern w:val="28"/>
          <w:sz w:val="56"/>
          <w:szCs w:val="56"/>
        </w:rPr>
        <w:t xml:space="preserve">nstrument </w:t>
      </w:r>
      <w:r>
        <w:rPr>
          <w:rFonts w:asciiTheme="majorHAnsi" w:eastAsiaTheme="majorEastAsia" w:hAnsiTheme="majorHAnsi" w:cstheme="majorBidi"/>
          <w:spacing w:val="-10"/>
          <w:kern w:val="28"/>
          <w:sz w:val="56"/>
          <w:szCs w:val="56"/>
        </w:rPr>
        <w:t>G</w:t>
      </w:r>
      <w:r w:rsidRPr="00AA4AA9">
        <w:rPr>
          <w:rFonts w:asciiTheme="majorHAnsi" w:eastAsiaTheme="majorEastAsia" w:hAnsiTheme="majorHAnsi" w:cstheme="majorBidi"/>
          <w:spacing w:val="-10"/>
          <w:kern w:val="28"/>
          <w:sz w:val="56"/>
          <w:szCs w:val="56"/>
        </w:rPr>
        <w:t>eometry</w:t>
      </w:r>
    </w:p>
    <w:p w14:paraId="05640151" w14:textId="396D914C" w:rsidR="006D7FDF" w:rsidRPr="00423091" w:rsidRDefault="006D7FDF" w:rsidP="006D7FDF">
      <w:r>
        <w:t xml:space="preserve">By David J H </w:t>
      </w:r>
      <w:proofErr w:type="gramStart"/>
      <w:r>
        <w:t>Cant</w:t>
      </w:r>
      <w:proofErr w:type="gramEnd"/>
      <w:r>
        <w:t>*, Ben F</w:t>
      </w:r>
      <w:r w:rsidR="00EC123F">
        <w:t xml:space="preserve"> Spencer</w:t>
      </w:r>
      <w:r>
        <w:t>, Wendy R Flavell and Alexander G Shard</w:t>
      </w:r>
    </w:p>
    <w:p w14:paraId="4EDDEE19" w14:textId="77777777" w:rsidR="006D7FDF" w:rsidRPr="006D7FDF" w:rsidRDefault="006D7FDF" w:rsidP="00DC4BC1"/>
    <w:p w14:paraId="12917504" w14:textId="77777777" w:rsidR="006D7FDF" w:rsidRPr="006D7FDF" w:rsidRDefault="006D7FDF" w:rsidP="006D7FDF"/>
    <w:p w14:paraId="1D1A7D9F" w14:textId="497BE463" w:rsidR="001F2B35" w:rsidRDefault="001F2B35" w:rsidP="001F2B35">
      <w:pPr>
        <w:pStyle w:val="Heading1"/>
      </w:pPr>
      <w:r>
        <w:t>Plots of asymmetry parameters and modelled data for selected peaks</w:t>
      </w:r>
    </w:p>
    <w:p w14:paraId="314B52FD" w14:textId="77777777" w:rsidR="001F2B35" w:rsidRDefault="001F2B35" w:rsidP="001F2B35">
      <w:pPr>
        <w:keepNext/>
      </w:pPr>
      <w:r>
        <w:rPr>
          <w:noProof/>
        </w:rPr>
        <w:drawing>
          <wp:inline distT="0" distB="0" distL="0" distR="0" wp14:anchorId="1897FF6E" wp14:editId="7B1305B8">
            <wp:extent cx="5761355" cy="3596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1355" cy="3596640"/>
                    </a:xfrm>
                    <a:prstGeom prst="rect">
                      <a:avLst/>
                    </a:prstGeom>
                    <a:noFill/>
                  </pic:spPr>
                </pic:pic>
              </a:graphicData>
            </a:graphic>
          </wp:inline>
        </w:drawing>
      </w:r>
    </w:p>
    <w:p w14:paraId="33E18EAD" w14:textId="7A7903F7" w:rsidR="00A04C5A" w:rsidRDefault="001F2B35" w:rsidP="00A04C5A">
      <w:pPr>
        <w:pStyle w:val="Caption"/>
        <w:keepNext/>
      </w:pPr>
      <w:r>
        <w:t xml:space="preserve">Figure </w:t>
      </w:r>
      <w:r w:rsidR="00A33496">
        <w:t>S</w:t>
      </w:r>
      <w:r w:rsidR="007E4BC1">
        <w:fldChar w:fldCharType="begin"/>
      </w:r>
      <w:r w:rsidR="007E4BC1">
        <w:instrText xml:space="preserve"> SEQ Figure \* ARABIC </w:instrText>
      </w:r>
      <w:r w:rsidR="007E4BC1">
        <w:fldChar w:fldCharType="separate"/>
      </w:r>
      <w:r w:rsidR="00C50E1F">
        <w:rPr>
          <w:noProof/>
        </w:rPr>
        <w:t>1</w:t>
      </w:r>
      <w:r w:rsidR="007E4BC1">
        <w:rPr>
          <w:noProof/>
        </w:rPr>
        <w:fldChar w:fldCharType="end"/>
      </w:r>
      <w:r>
        <w:t xml:space="preserve"> - </w:t>
      </w:r>
      <w:r w:rsidRPr="004F15A5">
        <w:rPr>
          <w:rFonts w:ascii="Symbol" w:hAnsi="Symbol" w:cs="Arial (Body CS)"/>
        </w:rPr>
        <w:t>b</w:t>
      </w:r>
      <w:r>
        <w:t xml:space="preserve"> values from </w:t>
      </w:r>
      <w:proofErr w:type="spellStart"/>
      <w:r>
        <w:t>Trzhaskovskaya</w:t>
      </w:r>
      <w:proofErr w:type="spellEnd"/>
      <w:r>
        <w:t xml:space="preserve"> and </w:t>
      </w:r>
      <w:proofErr w:type="spellStart"/>
      <w:r>
        <w:t>Yarzhemsky</w:t>
      </w:r>
      <w:proofErr w:type="spellEnd"/>
      <w:r w:rsidRPr="00DD4F50">
        <w:fldChar w:fldCharType="begin" w:fldLock="1"/>
      </w:r>
      <w:r w:rsidR="00CC5813" w:rsidRPr="00DD4F50">
        <w:instrText>ADDIN CSL_CITATION {"citationItems":[{"id":"ITEM-1","itemData":{"DOI":"10.1016/J.ADT.2017.04.003","ISSN":"0092-640X","abstract":"Presented here are the photoionization cross sections and parameters of the photoelectron angular distribution for atomic subshells with binding energies lower than 1.5 keV of all elements with 1≤Z≤100 in the photon energy range 1.5–10 keV. The calculations were performed in an effort to provide handy theoretical data for experimental studies by hard X-ray photoelectron spectroscopy (HAXPES). We used the relativistic treatment of atomic photoeffect and the Dirac–Fock method with proper consideration of the electron exchange for computing the electron wave functions. The photoionization cross sections were determined including all multipoles of the radiative field while the photoelectron angular distribution parameters were obtained within the quadrupole approximation. The effect of the hole resulting in the atomic subshell after photoionization was taken into account by the use of the frozen orbital model.","author":[{"dropping-particle":"","family":"Trzhaskovskaya","given":"M. B.","non-dropping-particle":"","parse-names":false,"suffix":""},{"dropping-particle":"","family":"Yarzhemsky","given":"V. G.","non-dropping-particle":"","parse-names":false,"suffix":""}],"container-title":"Atomic Data and Nuclear Data Tables","id":"ITEM-1","issued":{"date-parts":[["2018","1","1"]]},"page":"99-174","publisher":"Academic Press","title":"Dirac–Fock photoionization parameters for HAXPES applications","type":"article-journal","volume":"119"},"uris":["http://www.mendeley.com/documents/?uuid=d662b5ec-03eb-3b62-8910-f1c2a7a3ef5a"]},{"id":"ITEM-2","itemData":{"DOI":"10.1016/J.ADT.2019.05.001","ISSN":"0092-640X","abstract":"Presented here are the photoionization cross sections and parameters of the photoelectron angular distribution for inner atomic subshells with binding energies beyond 1.5 keV in the photon energy range from 2 keV to 12 keV. The calculations are an extension of our previous paper containing the photoionization parameters for comparatively outer shells with binding energies lower than 1.5 keV (Trzhaskovskaya and Yarzhemsky, 2018). The calculations are intended for use in the experimental HAXPES spectroscopy investigations. The up-to-date HAXPES activity tends to increase the photon energy to investigate the deep core levels resulting in a necessity of theoretical consideration of photoionization parameters for inner atomic shells. Our relativistic calculations have been performed by the Dirac–Fock method. The photoionization cross sections have been found including all multipoles of the radiative field while the photoelectron angular distribution parameters have been obtained in the quadrupole approximation. The effect of the hole resulting in the atomic subshell after photoionization has been taken into account using the frozen orbital model.","author":[{"dropping-particle":"","family":"Trzhaskovskaya","given":"M. B.","non-dropping-particle":"","parse-names":false,"suffix":""},{"dropping-particle":"","family":"Yarzhemsky","given":"V. G.","non-dropping-particle":"","parse-names":false,"suffix":""}],"container-title":"Atomic Data and Nuclear Data Tables","id":"ITEM-2","issued":{"date-parts":[["2019","9","1"]]},"page":"101280","publisher":"Academic Press","title":"Dirac–Fock photoionization parameters for HAXPES applications, Part II: Inner atomic shells","type":"article-journal","volume":"129-130"},"uris":["http://www.mendeley.com/documents/?uuid=30ff704c-8111-358e-a1ed-29bd8e20ea72"]}],"mendeley":{"formattedCitation":"[1], [2]","plainTextFormattedCitation":"[1], [2]","previouslyFormattedCitation":"[1], [2]"},"properties":{"noteIndex":0},"schema":"https://github.com/citation-style-language/schema/raw/master/csl-citation.json"}</w:instrText>
      </w:r>
      <w:r w:rsidRPr="00DD4F50">
        <w:fldChar w:fldCharType="separate"/>
      </w:r>
      <w:r w:rsidRPr="00DD4F50">
        <w:rPr>
          <w:noProof/>
        </w:rPr>
        <w:t>[1], [2]</w:t>
      </w:r>
      <w:r w:rsidRPr="00DD4F50">
        <w:fldChar w:fldCharType="end"/>
      </w:r>
      <w:r w:rsidRPr="00DD4F50">
        <w:t xml:space="preserve"> </w:t>
      </w:r>
      <w:r>
        <w:t xml:space="preserve">for selected subshells. Values from the database are shown as points, the descriptive curves in this paper are shown as lines. </w:t>
      </w:r>
      <w:r w:rsidRPr="004F15A5">
        <w:rPr>
          <w:rFonts w:ascii="Symbol" w:hAnsi="Symbol" w:cs="Arial (Body CS)"/>
        </w:rPr>
        <w:t>b</w:t>
      </w:r>
      <w:r>
        <w:t xml:space="preserve"> values for </w:t>
      </w:r>
      <w:r w:rsidRPr="00DC4BC1">
        <w:rPr>
          <w:i/>
          <w:iCs/>
        </w:rPr>
        <w:t>s</w:t>
      </w:r>
      <w:r>
        <w:t xml:space="preserve"> shells are typically very close to 2, so only the Si 1</w:t>
      </w:r>
      <w:r w:rsidRPr="00DC4BC1">
        <w:rPr>
          <w:i/>
          <w:iCs/>
        </w:rPr>
        <w:t>s</w:t>
      </w:r>
      <w:r>
        <w:t xml:space="preserve"> and Au 4</w:t>
      </w:r>
      <w:r w:rsidRPr="00DC4BC1">
        <w:rPr>
          <w:i/>
          <w:iCs/>
        </w:rPr>
        <w:t>s</w:t>
      </w:r>
      <w:r>
        <w:t xml:space="preserve"> are shown as examples.</w:t>
      </w:r>
      <w:r w:rsidR="00A35CB2">
        <w:t xml:space="preserve"> Markers correspond to subshells as follows:</w:t>
      </w:r>
      <w:r w:rsidR="00A35CB2" w:rsidRPr="002D3324">
        <w:t xml:space="preserve"> (</w:t>
      </w:r>
      <w:r w:rsidR="00A35CB2" w:rsidRPr="004F15A5">
        <w:rPr>
          <w:b/>
          <w:bCs/>
          <w:color w:val="FF0000"/>
        </w:rPr>
        <w:sym w:font="Wingdings 2" w:char="F0CD"/>
      </w:r>
      <w:r w:rsidR="00A35CB2" w:rsidRPr="002D3324">
        <w:t xml:space="preserve"> - Si 1</w:t>
      </w:r>
      <w:r w:rsidR="00A35CB2" w:rsidRPr="00DC4BC1">
        <w:rPr>
          <w:i/>
          <w:iCs/>
        </w:rPr>
        <w:t>s</w:t>
      </w:r>
      <w:r w:rsidR="00A35CB2" w:rsidRPr="002D3324">
        <w:t>); (</w:t>
      </w:r>
      <w:r w:rsidR="00A35CB2" w:rsidRPr="004F15A5">
        <w:rPr>
          <w:b/>
          <w:bCs/>
          <w:color w:val="4472C4" w:themeColor="accent1"/>
        </w:rPr>
        <w:sym w:font="Wingdings 2" w:char="F0DB"/>
      </w:r>
      <w:r w:rsidR="00A35CB2" w:rsidRPr="002D3324">
        <w:t xml:space="preserve"> - Si 2</w:t>
      </w:r>
      <w:r w:rsidR="00A35CB2" w:rsidRPr="00DC4BC1">
        <w:rPr>
          <w:i/>
          <w:iCs/>
        </w:rPr>
        <w:t>p</w:t>
      </w:r>
      <w:r w:rsidR="00A35CB2" w:rsidRPr="002D3324">
        <w:t xml:space="preserve"> </w:t>
      </w:r>
      <w:r w:rsidR="00A35CB2" w:rsidRPr="004F15A5">
        <w:rPr>
          <w:vertAlign w:val="superscript"/>
        </w:rPr>
        <w:t>3</w:t>
      </w:r>
      <w:r w:rsidR="00A35CB2" w:rsidRPr="002D3324">
        <w:t>/</w:t>
      </w:r>
      <w:r w:rsidR="00A35CB2" w:rsidRPr="004F15A5">
        <w:rPr>
          <w:vertAlign w:val="subscript"/>
        </w:rPr>
        <w:t>2</w:t>
      </w:r>
      <w:r w:rsidR="00A35CB2" w:rsidRPr="004F15A5">
        <w:t>)</w:t>
      </w:r>
      <w:r w:rsidR="00A35CB2" w:rsidRPr="002D3324">
        <w:t>; (</w:t>
      </w:r>
      <w:r w:rsidR="00A35CB2" w:rsidRPr="004F15A5">
        <w:rPr>
          <w:b/>
          <w:bCs/>
          <w:color w:val="7030A0"/>
        </w:rPr>
        <w:sym w:font="Wingdings 2" w:char="F0C6"/>
      </w:r>
      <w:r w:rsidR="00A35CB2" w:rsidRPr="002D3324">
        <w:t xml:space="preserve"> - Ag 3</w:t>
      </w:r>
      <w:r w:rsidR="00A35CB2" w:rsidRPr="00DC4BC1">
        <w:rPr>
          <w:i/>
          <w:iCs/>
        </w:rPr>
        <w:t>d</w:t>
      </w:r>
      <w:r w:rsidR="00A35CB2" w:rsidRPr="002D3324">
        <w:t xml:space="preserve"> </w:t>
      </w:r>
      <w:r w:rsidR="00A35CB2" w:rsidRPr="004F15A5">
        <w:rPr>
          <w:vertAlign w:val="superscript"/>
        </w:rPr>
        <w:t>5</w:t>
      </w:r>
      <w:r w:rsidR="00A35CB2" w:rsidRPr="002D3324">
        <w:t>/</w:t>
      </w:r>
      <w:r w:rsidR="00A35CB2" w:rsidRPr="004F15A5">
        <w:rPr>
          <w:vertAlign w:val="subscript"/>
        </w:rPr>
        <w:t>2</w:t>
      </w:r>
      <w:r w:rsidR="00A35CB2" w:rsidRPr="002D3324">
        <w:t>); (</w:t>
      </w:r>
      <w:r w:rsidR="00A35CB2" w:rsidRPr="004F15A5">
        <w:rPr>
          <w:b/>
          <w:bCs/>
          <w:color w:val="BF8F00" w:themeColor="accent4" w:themeShade="BF"/>
        </w:rPr>
        <w:sym w:font="Wingdings 2" w:char="F0A3"/>
      </w:r>
      <w:r w:rsidR="00A35CB2" w:rsidRPr="002D3324">
        <w:t xml:space="preserve"> - Au 4</w:t>
      </w:r>
      <w:r w:rsidR="00A35CB2" w:rsidRPr="00DC4BC1">
        <w:rPr>
          <w:i/>
          <w:iCs/>
        </w:rPr>
        <w:t>s</w:t>
      </w:r>
      <w:r w:rsidR="00A35CB2" w:rsidRPr="002D3324">
        <w:t>); (</w:t>
      </w:r>
      <w:r w:rsidR="00A35CB2" w:rsidRPr="004F15A5">
        <w:rPr>
          <w:b/>
          <w:bCs/>
        </w:rPr>
        <w:sym w:font="Wingdings 2" w:char="F0AF"/>
      </w:r>
      <w:r w:rsidR="00A35CB2" w:rsidRPr="002D3324">
        <w:t xml:space="preserve"> - Au 4</w:t>
      </w:r>
      <w:r w:rsidR="00A35CB2" w:rsidRPr="00DC4BC1">
        <w:rPr>
          <w:i/>
          <w:iCs/>
        </w:rPr>
        <w:t>f</w:t>
      </w:r>
      <w:r w:rsidR="00A35CB2" w:rsidRPr="002D3324">
        <w:t xml:space="preserve"> </w:t>
      </w:r>
      <w:r w:rsidR="00A35CB2" w:rsidRPr="004F15A5">
        <w:rPr>
          <w:vertAlign w:val="superscript"/>
        </w:rPr>
        <w:t>7</w:t>
      </w:r>
      <w:r w:rsidR="00A35CB2" w:rsidRPr="002D3324">
        <w:t>/</w:t>
      </w:r>
      <w:r w:rsidR="00A35CB2" w:rsidRPr="004F15A5">
        <w:rPr>
          <w:vertAlign w:val="subscript"/>
        </w:rPr>
        <w:t>2</w:t>
      </w:r>
      <w:r w:rsidR="00A35CB2" w:rsidRPr="002D3324">
        <w:t>).</w:t>
      </w:r>
    </w:p>
    <w:p w14:paraId="63CA9087" w14:textId="77777777" w:rsidR="00A04C5A" w:rsidRPr="00A04C5A" w:rsidRDefault="00A04C5A" w:rsidP="00A04C5A"/>
    <w:p w14:paraId="0AAEAD6C" w14:textId="1CA2FD71" w:rsidR="001F2B35" w:rsidRDefault="001F2B35" w:rsidP="00A04C5A">
      <w:pPr>
        <w:pStyle w:val="Caption"/>
        <w:keepNext/>
      </w:pPr>
      <w:r>
        <w:rPr>
          <w:noProof/>
        </w:rPr>
        <w:lastRenderedPageBreak/>
        <w:drawing>
          <wp:inline distT="0" distB="0" distL="0" distR="0" wp14:anchorId="55A63A34" wp14:editId="0F06F047">
            <wp:extent cx="5761355" cy="3596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1355" cy="3596640"/>
                    </a:xfrm>
                    <a:prstGeom prst="rect">
                      <a:avLst/>
                    </a:prstGeom>
                    <a:noFill/>
                  </pic:spPr>
                </pic:pic>
              </a:graphicData>
            </a:graphic>
          </wp:inline>
        </w:drawing>
      </w:r>
    </w:p>
    <w:p w14:paraId="65887C16" w14:textId="4C4F4ECE" w:rsidR="001F2B35" w:rsidRDefault="001F2B35" w:rsidP="00A35CB2">
      <w:pPr>
        <w:pStyle w:val="Caption"/>
      </w:pPr>
      <w:r w:rsidRPr="00A35CB2">
        <w:t xml:space="preserve">Figure </w:t>
      </w:r>
      <w:r w:rsidR="00A33496">
        <w:t>S</w:t>
      </w:r>
      <w:r w:rsidR="007E4BC1">
        <w:fldChar w:fldCharType="begin"/>
      </w:r>
      <w:r w:rsidR="007E4BC1">
        <w:instrText xml:space="preserve"> SEQ Figure \* ARABIC </w:instrText>
      </w:r>
      <w:r w:rsidR="007E4BC1">
        <w:fldChar w:fldCharType="separate"/>
      </w:r>
      <w:r w:rsidR="00C50E1F">
        <w:rPr>
          <w:noProof/>
        </w:rPr>
        <w:t>2</w:t>
      </w:r>
      <w:r w:rsidR="007E4BC1">
        <w:rPr>
          <w:noProof/>
        </w:rPr>
        <w:fldChar w:fldCharType="end"/>
      </w:r>
      <w:r w:rsidRPr="00A35CB2">
        <w:t xml:space="preserve"> - </w:t>
      </w:r>
      <w:r w:rsidRPr="00A35CB2">
        <w:rPr>
          <w:rFonts w:ascii="Symbol" w:hAnsi="Symbol" w:cs="Arial (Body CS)"/>
        </w:rPr>
        <w:t>g</w:t>
      </w:r>
      <w:r w:rsidRPr="00A35CB2">
        <w:t xml:space="preserve"> values from </w:t>
      </w:r>
      <w:proofErr w:type="spellStart"/>
      <w:r w:rsidRPr="00A35CB2">
        <w:t>Trzhaskovskaya</w:t>
      </w:r>
      <w:proofErr w:type="spellEnd"/>
      <w:r w:rsidRPr="00A35CB2">
        <w:t xml:space="preserve"> and </w:t>
      </w:r>
      <w:proofErr w:type="spellStart"/>
      <w:r w:rsidRPr="00A35CB2">
        <w:t>Yarzhemsky</w:t>
      </w:r>
      <w:proofErr w:type="spellEnd"/>
      <w:r w:rsidRPr="00A35CB2">
        <w:fldChar w:fldCharType="begin" w:fldLock="1"/>
      </w:r>
      <w:r w:rsidR="00CC5813">
        <w:instrText>ADDIN CSL_CITATION {"citationItems":[{"id":"ITEM-1","itemData":{"DOI":"10.1016/J.ADT.2017.04.003","ISSN":"0092-640X","abstract":"Presented here are the photoionization cross sections and parameters of the photoelectron angular distribution for atomic subshells with binding energies lower than 1.5 keV of all elements with 1≤Z≤100 in the photon energy range 1.5–10 keV. The calculations were performed in an effort to provide handy theoretical data for experimental studies by hard X-ray photoelectron spectroscopy (HAXPES). We used the relativistic treatment of atomic photoeffect and the Dirac–Fock method with proper consideration of the electron exchange for computing the electron wave functions. The photoionization cross sections were determined including all multipoles of the radiative field while the photoelectron angular distribution parameters were obtained within the quadrupole approximation. The effect of the hole resulting in the atomic subshell after photoionization was taken into account by the use of the frozen orbital model.","author":[{"dropping-particle":"","family":"Trzhaskovskaya","given":"M. B.","non-dropping-particle":"","parse-names":false,"suffix":""},{"dropping-particle":"","family":"Yarzhemsky","given":"V. G.","non-dropping-particle":"","parse-names":false,"suffix":""}],"container-title":"Atomic Data and Nuclear Data Tables","id":"ITEM-1","issued":{"date-parts":[["2018","1","1"]]},"page":"99-174","publisher":"Academic Press","title":"Dirac–Fock photoionization parameters for HAXPES applications","type":"article-journal","volume":"119"},"uris":["http://www.mendeley.com/documents/?uuid=d662b5ec-03eb-3b62-8910-f1c2a7a3ef5a"]},{"id":"ITEM-2","itemData":{"DOI":"10.1016/J.ADT.2019.05.001","ISSN":"0092-640X","abstract":"Presented here are the photoionization cross sections and parameters of the photoelectron angular distribution for inner atomic subshells with binding energies beyond 1.5 keV in the photon energy range from 2 keV to 12 keV. The calculations are an extension of our previous paper containing the photoionization parameters for comparatively outer shells with binding energies lower than 1.5 keV (Trzhaskovskaya and Yarzhemsky, 2018). The calculations are intended for use in the experimental HAXPES spectroscopy investigations. The up-to-date HAXPES activity tends to increase the photon energy to investigate the deep core levels resulting in a necessity of theoretical consideration of photoionization parameters for inner atomic shells. Our relativistic calculations have been performed by the Dirac–Fock method. The photoionization cross sections have been found including all multipoles of the radiative field while the photoelectron angular distribution parameters have been obtained in the quadrupole approximation. The effect of the hole resulting in the atomic subshell after photoionization has been taken into account using the frozen orbital model.","author":[{"dropping-particle":"","family":"Trzhaskovskaya","given":"M. B.","non-dropping-particle":"","parse-names":false,"suffix":""},{"dropping-particle":"","family":"Yarzhemsky","given":"V. G.","non-dropping-particle":"","parse-names":false,"suffix":""}],"container-title":"Atomic Data and Nuclear Data Tables","id":"ITEM-2","issued":{"date-parts":[["2019","9","1"]]},"page":"101280","publisher":"Academic Press","title":"Dirac–Fock photoionization parameters for HAXPES applications, Part II: Inner atomic shells","type":"article-journal","volume":"129-130"},"uris":["http://www.mendeley.com/documents/?uuid=30ff704c-8111-358e-a1ed-29bd8e20ea72"]}],"mendeley":{"formattedCitation":"[1], [2]","plainTextFormattedCitation":"[1], [2]","previouslyFormattedCitation":"[1], [2]"},"properties":{"noteIndex":0},"schema":"https://github.com/citation-style-language/schema/raw/master/csl-citation.json"}</w:instrText>
      </w:r>
      <w:r w:rsidRPr="00A35CB2">
        <w:fldChar w:fldCharType="separate"/>
      </w:r>
      <w:r w:rsidRPr="00A35CB2">
        <w:rPr>
          <w:noProof/>
        </w:rPr>
        <w:t>[1], [2]</w:t>
      </w:r>
      <w:r w:rsidRPr="00A35CB2">
        <w:fldChar w:fldCharType="end"/>
      </w:r>
      <w:r w:rsidRPr="00A35CB2">
        <w:t xml:space="preserve"> for selected subshells. Values from the database are shown as points, the descriptive curves in this paper are shown as lines.</w:t>
      </w:r>
      <w:r w:rsidR="00A35CB2" w:rsidRPr="00A35CB2">
        <w:t xml:space="preserve"> Markers correspond to subshells as follows: </w:t>
      </w:r>
      <w:r w:rsidR="00A33496" w:rsidRPr="004F15A5">
        <w:t>(</w:t>
      </w:r>
      <w:r w:rsidR="00A33496" w:rsidRPr="004F15A5">
        <w:rPr>
          <w:b/>
          <w:bCs/>
          <w:color w:val="538135" w:themeColor="accent6" w:themeShade="BF"/>
        </w:rPr>
        <w:sym w:font="Wingdings 3" w:char="F072"/>
      </w:r>
      <w:r w:rsidR="00A33496" w:rsidRPr="002D3324">
        <w:t xml:space="preserve"> - C 1s); (</w:t>
      </w:r>
      <w:r w:rsidR="00A33496" w:rsidRPr="004F15A5">
        <w:rPr>
          <w:b/>
          <w:bCs/>
          <w:color w:val="FF0000"/>
        </w:rPr>
        <w:sym w:font="Wingdings 2" w:char="F0CD"/>
      </w:r>
      <w:r w:rsidR="00A33496" w:rsidRPr="002D3324">
        <w:t xml:space="preserve"> - Si 1</w:t>
      </w:r>
      <w:r w:rsidR="00A33496" w:rsidRPr="00DC4BC1">
        <w:rPr>
          <w:i/>
          <w:iCs/>
        </w:rPr>
        <w:t>s</w:t>
      </w:r>
      <w:r w:rsidR="00A33496" w:rsidRPr="002D3324">
        <w:t>); (</w:t>
      </w:r>
      <w:r w:rsidR="00A33496" w:rsidRPr="004F15A5">
        <w:rPr>
          <w:b/>
          <w:bCs/>
          <w:color w:val="4472C4" w:themeColor="accent1"/>
        </w:rPr>
        <w:sym w:font="Wingdings 2" w:char="F0DB"/>
      </w:r>
      <w:r w:rsidR="00A33496" w:rsidRPr="002D3324">
        <w:t xml:space="preserve"> - Si 2</w:t>
      </w:r>
      <w:r w:rsidR="00A33496" w:rsidRPr="00DC4BC1">
        <w:rPr>
          <w:i/>
          <w:iCs/>
        </w:rPr>
        <w:t>p</w:t>
      </w:r>
      <w:r w:rsidR="00A33496" w:rsidRPr="002D3324">
        <w:t xml:space="preserve"> </w:t>
      </w:r>
      <w:r w:rsidR="00A33496" w:rsidRPr="004F15A5">
        <w:rPr>
          <w:vertAlign w:val="superscript"/>
        </w:rPr>
        <w:t>3</w:t>
      </w:r>
      <w:r w:rsidR="00A33496" w:rsidRPr="002D3324">
        <w:t>/</w:t>
      </w:r>
      <w:r w:rsidR="00A33496" w:rsidRPr="004F15A5">
        <w:rPr>
          <w:vertAlign w:val="subscript"/>
        </w:rPr>
        <w:t>2</w:t>
      </w:r>
      <w:r w:rsidR="00A33496" w:rsidRPr="004F15A5">
        <w:t>)</w:t>
      </w:r>
      <w:r w:rsidR="00A33496" w:rsidRPr="002D3324">
        <w:t>; (</w:t>
      </w:r>
      <w:r w:rsidR="00A33496" w:rsidRPr="004F15A5">
        <w:rPr>
          <w:b/>
          <w:bCs/>
          <w:color w:val="7030A0"/>
        </w:rPr>
        <w:sym w:font="Wingdings 2" w:char="F0C6"/>
      </w:r>
      <w:r w:rsidR="00A33496" w:rsidRPr="002D3324">
        <w:t xml:space="preserve"> - Ag 3</w:t>
      </w:r>
      <w:r w:rsidR="00A33496" w:rsidRPr="00DC4BC1">
        <w:rPr>
          <w:i/>
          <w:iCs/>
        </w:rPr>
        <w:t>d</w:t>
      </w:r>
      <w:r w:rsidR="00A33496" w:rsidRPr="002D3324">
        <w:t xml:space="preserve"> </w:t>
      </w:r>
      <w:r w:rsidR="00A33496" w:rsidRPr="004F15A5">
        <w:rPr>
          <w:vertAlign w:val="superscript"/>
        </w:rPr>
        <w:t>5</w:t>
      </w:r>
      <w:r w:rsidR="00A33496" w:rsidRPr="002D3324">
        <w:t>/</w:t>
      </w:r>
      <w:r w:rsidR="00A33496" w:rsidRPr="004F15A5">
        <w:rPr>
          <w:vertAlign w:val="subscript"/>
        </w:rPr>
        <w:t>2</w:t>
      </w:r>
      <w:r w:rsidR="00A33496" w:rsidRPr="002D3324">
        <w:t>); (</w:t>
      </w:r>
      <w:r w:rsidR="00A33496" w:rsidRPr="004F15A5">
        <w:rPr>
          <w:b/>
          <w:bCs/>
          <w:color w:val="BF8F00" w:themeColor="accent4" w:themeShade="BF"/>
        </w:rPr>
        <w:sym w:font="Wingdings 2" w:char="F0A3"/>
      </w:r>
      <w:r w:rsidR="00A33496" w:rsidRPr="002D3324">
        <w:t xml:space="preserve"> - Au 4</w:t>
      </w:r>
      <w:r w:rsidR="00A33496" w:rsidRPr="00DC4BC1">
        <w:rPr>
          <w:i/>
          <w:iCs/>
        </w:rPr>
        <w:t>s</w:t>
      </w:r>
      <w:r w:rsidR="00A33496" w:rsidRPr="002D3324">
        <w:t>); (</w:t>
      </w:r>
      <w:r w:rsidR="00A33496" w:rsidRPr="004F15A5">
        <w:rPr>
          <w:b/>
          <w:bCs/>
        </w:rPr>
        <w:sym w:font="Wingdings 2" w:char="F0AF"/>
      </w:r>
      <w:r w:rsidR="00A33496" w:rsidRPr="002D3324">
        <w:t xml:space="preserve"> - Au 4</w:t>
      </w:r>
      <w:r w:rsidR="00A33496" w:rsidRPr="00DC4BC1">
        <w:rPr>
          <w:i/>
          <w:iCs/>
        </w:rPr>
        <w:t xml:space="preserve">f </w:t>
      </w:r>
      <w:r w:rsidR="00A33496" w:rsidRPr="004F15A5">
        <w:rPr>
          <w:vertAlign w:val="superscript"/>
        </w:rPr>
        <w:t>7</w:t>
      </w:r>
      <w:r w:rsidR="00A33496" w:rsidRPr="002D3324">
        <w:t>/</w:t>
      </w:r>
      <w:r w:rsidR="00A33496" w:rsidRPr="004F15A5">
        <w:rPr>
          <w:vertAlign w:val="subscript"/>
        </w:rPr>
        <w:t>2</w:t>
      </w:r>
      <w:r w:rsidR="00A33496" w:rsidRPr="002D3324">
        <w:t>).</w:t>
      </w:r>
    </w:p>
    <w:p w14:paraId="4A24E977" w14:textId="400D501B" w:rsidR="001F2B35" w:rsidRDefault="001F2B35" w:rsidP="00A35CB2">
      <w:pPr>
        <w:pStyle w:val="Caption"/>
      </w:pPr>
    </w:p>
    <w:p w14:paraId="076C27BC" w14:textId="051D4D54" w:rsidR="001F2B35" w:rsidRDefault="001F2B35" w:rsidP="00A35CB2">
      <w:pPr>
        <w:pStyle w:val="Caption"/>
      </w:pPr>
    </w:p>
    <w:p w14:paraId="74190299" w14:textId="77777777" w:rsidR="00546F99" w:rsidRDefault="00546F99" w:rsidP="00546F99">
      <w:pPr>
        <w:keepNext/>
      </w:pPr>
      <w:r>
        <w:rPr>
          <w:noProof/>
        </w:rPr>
        <w:lastRenderedPageBreak/>
        <w:drawing>
          <wp:inline distT="0" distB="0" distL="0" distR="0" wp14:anchorId="5D38B14E" wp14:editId="51727307">
            <wp:extent cx="5767070" cy="3596640"/>
            <wp:effectExtent l="0" t="0" r="508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070" cy="3596640"/>
                    </a:xfrm>
                    <a:prstGeom prst="rect">
                      <a:avLst/>
                    </a:prstGeom>
                    <a:noFill/>
                  </pic:spPr>
                </pic:pic>
              </a:graphicData>
            </a:graphic>
          </wp:inline>
        </w:drawing>
      </w:r>
    </w:p>
    <w:p w14:paraId="2307B189" w14:textId="1349413D" w:rsidR="00A33496" w:rsidRDefault="00546F99" w:rsidP="00546F99">
      <w:pPr>
        <w:pStyle w:val="Caption"/>
      </w:pPr>
      <w:r>
        <w:t>Figure S</w:t>
      </w:r>
      <w:fldSimple w:instr=" SEQ Figure \* ARABIC ">
        <w:r w:rsidR="00C50E1F">
          <w:rPr>
            <w:noProof/>
          </w:rPr>
          <w:t>3</w:t>
        </w:r>
      </w:fldSimple>
      <w:r>
        <w:t xml:space="preserve"> - </w:t>
      </w:r>
      <w:r w:rsidRPr="004F15A5">
        <w:rPr>
          <w:rFonts w:ascii="Symbol" w:hAnsi="Symbol" w:cs="Arial (Body CS)"/>
        </w:rPr>
        <w:t>d</w:t>
      </w:r>
      <w:r w:rsidRPr="00F76E87">
        <w:t xml:space="preserve"> values from </w:t>
      </w:r>
      <w:proofErr w:type="spellStart"/>
      <w:r w:rsidRPr="00F76E87">
        <w:t>Trzhaskovskaya</w:t>
      </w:r>
      <w:proofErr w:type="spellEnd"/>
      <w:r w:rsidRPr="00F76E87">
        <w:t xml:space="preserve"> and </w:t>
      </w:r>
      <w:proofErr w:type="spellStart"/>
      <w:r w:rsidRPr="00F76E87">
        <w:t>Yarzhemsky</w:t>
      </w:r>
      <w:proofErr w:type="spellEnd"/>
      <w:r w:rsidRPr="00A35CB2">
        <w:fldChar w:fldCharType="begin" w:fldLock="1"/>
      </w:r>
      <w:r>
        <w:instrText>ADDIN CSL_CITATION {"citationItems":[{"id":"ITEM-1","itemData":{"DOI":"10.1016/J.ADT.2017.04.003","ISSN":"0092-640X","abstract":"Presented here are the photoionization cross sections and parameters of the photoelectron angular distribution for atomic subshells with binding energies lower than 1.5 keV of all elements with 1≤Z≤100 in the photon energy range 1.5–10 keV. The calculations were performed in an effort to provide handy theoretical data for experimental studies by hard X-ray photoelectron spectroscopy (HAXPES). We used the relativistic treatment of atomic photoeffect and the Dirac–Fock method with proper consideration of the electron exchange for computing the electron wave functions. The photoionization cross sections were determined including all multipoles of the radiative field while the photoelectron angular distribution parameters were obtained within the quadrupole approximation. The effect of the hole resulting in the atomic subshell after photoionization was taken into account by the use of the frozen orbital model.","author":[{"dropping-particle":"","family":"Trzhaskovskaya","given":"M. B.","non-dropping-particle":"","parse-names":false,"suffix":""},{"dropping-particle":"","family":"Yarzhemsky","given":"V. G.","non-dropping-particle":"","parse-names":false,"suffix":""}],"container-title":"Atomic Data and Nuclear Data Tables","id":"ITEM-1","issued":{"date-parts":[["2018","1","1"]]},"page":"99-174","publisher":"Academic Press","title":"Dirac–Fock photoionization parameters for HAXPES applications","type":"article-journal","volume":"119"},"uris":["http://www.mendeley.com/documents/?uuid=d662b5ec-03eb-3b62-8910-f1c2a7a3ef5a"]},{"id":"ITEM-2","itemData":{"DOI":"10.1016/J.ADT.2019.05.001","ISSN":"0092-640X","abstract":"Presented here are the photoionization cross sections and parameters of the photoelectron angular distribution for inner atomic subshells with binding energies beyond 1.5 keV in the photon energy range from 2 keV to 12 keV. The calculations are an extension of our previous paper containing the photoionization parameters for comparatively outer shells with binding energies lower than 1.5 keV (Trzhaskovskaya and Yarzhemsky, 2018). The calculations are intended for use in the experimental HAXPES spectroscopy investigations. The up-to-date HAXPES activity tends to increase the photon energy to investigate the deep core levels resulting in a necessity of theoretical consideration of photoionization parameters for inner atomic shells. Our relativistic calculations have been performed by the Dirac–Fock method. The photoionization cross sections have been found including all multipoles of the radiative field while the photoelectron angular distribution parameters have been obtained in the quadrupole approximation. The effect of the hole resulting in the atomic subshell after photoionization has been taken into account using the frozen orbital model.","author":[{"dropping-particle":"","family":"Trzhaskovskaya","given":"M. B.","non-dropping-particle":"","parse-names":false,"suffix":""},{"dropping-particle":"","family":"Yarzhemsky","given":"V. G.","non-dropping-particle":"","parse-names":false,"suffix":""}],"container-title":"Atomic Data and Nuclear Data Tables","id":"ITEM-2","issued":{"date-parts":[["2019","9","1"]]},"page":"101280","publisher":"Academic Press","title":"Dirac–Fock photoionization parameters for HAXPES applications, Part II: Inner atomic shells","type":"article-journal","volume":"129-130"},"uris":["http://www.mendeley.com/documents/?uuid=30ff704c-8111-358e-a1ed-29bd8e20ea72"]}],"mendeley":{"formattedCitation":"[1], [2]","plainTextFormattedCitation":"[1], [2]","previouslyFormattedCitation":"[1], [2]"},"properties":{"noteIndex":0},"schema":"https://github.com/citation-style-language/schema/raw/master/csl-citation.json"}</w:instrText>
      </w:r>
      <w:r w:rsidRPr="00A35CB2">
        <w:fldChar w:fldCharType="separate"/>
      </w:r>
      <w:r w:rsidRPr="00A35CB2">
        <w:rPr>
          <w:noProof/>
        </w:rPr>
        <w:t>[1], [2]</w:t>
      </w:r>
      <w:r w:rsidRPr="00A35CB2">
        <w:fldChar w:fldCharType="end"/>
      </w:r>
      <w:r w:rsidRPr="00F76E87">
        <w:t xml:space="preserve"> for selected subshells.</w:t>
      </w:r>
      <w:r>
        <w:t xml:space="preserve"> Values from the database are shown as points, the descriptive curves in this paper are shown as lines. Markers correspond to subshells as follows: </w:t>
      </w:r>
      <w:r w:rsidRPr="002D3324">
        <w:t>(</w:t>
      </w:r>
      <w:r w:rsidRPr="004F15A5">
        <w:rPr>
          <w:b/>
          <w:bCs/>
          <w:color w:val="4472C4" w:themeColor="accent1"/>
        </w:rPr>
        <w:sym w:font="Wingdings 2" w:char="F0DB"/>
      </w:r>
      <w:r w:rsidRPr="002D3324">
        <w:t xml:space="preserve"> - Si 2</w:t>
      </w:r>
      <w:r w:rsidRPr="00DC4BC1">
        <w:rPr>
          <w:i/>
          <w:iCs/>
        </w:rPr>
        <w:t>p</w:t>
      </w:r>
      <w:r w:rsidRPr="002D3324">
        <w:t xml:space="preserve"> </w:t>
      </w:r>
      <w:r w:rsidRPr="004F15A5">
        <w:rPr>
          <w:vertAlign w:val="superscript"/>
        </w:rPr>
        <w:t>3</w:t>
      </w:r>
      <w:r w:rsidRPr="002D3324">
        <w:t>/</w:t>
      </w:r>
      <w:r w:rsidRPr="004F15A5">
        <w:rPr>
          <w:vertAlign w:val="subscript"/>
        </w:rPr>
        <w:t>2</w:t>
      </w:r>
      <w:r w:rsidRPr="004F15A5">
        <w:t>)</w:t>
      </w:r>
      <w:r>
        <w:t xml:space="preserve">; </w:t>
      </w:r>
      <w:r w:rsidRPr="002D3324">
        <w:t>(</w:t>
      </w:r>
      <w:r w:rsidRPr="004F15A5">
        <w:rPr>
          <w:b/>
          <w:bCs/>
          <w:color w:val="7030A0"/>
        </w:rPr>
        <w:sym w:font="Wingdings 2" w:char="F0C6"/>
      </w:r>
      <w:r w:rsidRPr="002D3324">
        <w:t xml:space="preserve"> - Ag 3</w:t>
      </w:r>
      <w:r w:rsidRPr="00DC4BC1">
        <w:rPr>
          <w:i/>
          <w:iCs/>
        </w:rPr>
        <w:t>d</w:t>
      </w:r>
      <w:r w:rsidRPr="002D3324">
        <w:t xml:space="preserve"> </w:t>
      </w:r>
      <w:r w:rsidRPr="004F15A5">
        <w:rPr>
          <w:vertAlign w:val="superscript"/>
        </w:rPr>
        <w:t>5</w:t>
      </w:r>
      <w:r w:rsidRPr="002D3324">
        <w:t>/</w:t>
      </w:r>
      <w:r w:rsidRPr="004F15A5">
        <w:rPr>
          <w:vertAlign w:val="subscript"/>
        </w:rPr>
        <w:t>2</w:t>
      </w:r>
      <w:r w:rsidRPr="002D3324">
        <w:t>); (</w:t>
      </w:r>
      <w:r w:rsidRPr="004F15A5">
        <w:rPr>
          <w:b/>
          <w:bCs/>
        </w:rPr>
        <w:sym w:font="Wingdings 2" w:char="F0AF"/>
      </w:r>
      <w:r w:rsidRPr="002D3324">
        <w:t xml:space="preserve"> - Au 4</w:t>
      </w:r>
      <w:r w:rsidRPr="00DC4BC1">
        <w:rPr>
          <w:i/>
          <w:iCs/>
        </w:rPr>
        <w:t>f</w:t>
      </w:r>
      <w:r w:rsidRPr="002D3324">
        <w:t xml:space="preserve"> </w:t>
      </w:r>
      <w:r w:rsidRPr="004F15A5">
        <w:rPr>
          <w:vertAlign w:val="superscript"/>
        </w:rPr>
        <w:t>7</w:t>
      </w:r>
      <w:r w:rsidRPr="002D3324">
        <w:t>/</w:t>
      </w:r>
      <w:r w:rsidRPr="004F15A5">
        <w:rPr>
          <w:vertAlign w:val="subscript"/>
        </w:rPr>
        <w:t>2</w:t>
      </w:r>
      <w:r w:rsidRPr="002D3324">
        <w:t>).</w:t>
      </w:r>
    </w:p>
    <w:p w14:paraId="638B7690" w14:textId="5ED1FB0A" w:rsidR="001F2B35" w:rsidRDefault="001F2B35" w:rsidP="001F2B35">
      <w:pPr>
        <w:pStyle w:val="Heading1"/>
      </w:pPr>
      <w:r>
        <w:t>Plots of model deviation from database values for asymmetry parameters</w:t>
      </w:r>
    </w:p>
    <w:p w14:paraId="72380638" w14:textId="77777777" w:rsidR="00A04C5A" w:rsidRDefault="00A04C5A" w:rsidP="00A04C5A">
      <w:pPr>
        <w:keepNext/>
      </w:pPr>
      <w:r>
        <w:rPr>
          <w:noProof/>
        </w:rPr>
        <w:drawing>
          <wp:inline distT="0" distB="0" distL="0" distR="0" wp14:anchorId="367DA4BC" wp14:editId="1DE70AD6">
            <wp:extent cx="5761355" cy="33102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1355" cy="3310255"/>
                    </a:xfrm>
                    <a:prstGeom prst="rect">
                      <a:avLst/>
                    </a:prstGeom>
                    <a:noFill/>
                  </pic:spPr>
                </pic:pic>
              </a:graphicData>
            </a:graphic>
          </wp:inline>
        </w:drawing>
      </w:r>
    </w:p>
    <w:p w14:paraId="38989E80" w14:textId="4BFFD3ED" w:rsidR="00A04C5A" w:rsidRDefault="00A04C5A" w:rsidP="00A04C5A">
      <w:pPr>
        <w:pStyle w:val="Caption"/>
      </w:pPr>
      <w:r>
        <w:t>Figure S</w:t>
      </w:r>
      <w:r w:rsidR="007E4BC1">
        <w:fldChar w:fldCharType="begin"/>
      </w:r>
      <w:r w:rsidR="007E4BC1">
        <w:instrText xml:space="preserve"> SEQ Figure \* ARABIC </w:instrText>
      </w:r>
      <w:r w:rsidR="007E4BC1">
        <w:fldChar w:fldCharType="separate"/>
      </w:r>
      <w:r w:rsidR="00C50E1F">
        <w:rPr>
          <w:noProof/>
        </w:rPr>
        <w:t>4</w:t>
      </w:r>
      <w:r w:rsidR="007E4BC1">
        <w:rPr>
          <w:noProof/>
        </w:rPr>
        <w:fldChar w:fldCharType="end"/>
      </w:r>
      <w:r>
        <w:t xml:space="preserve"> - Plot of the deviation between modelled values of </w:t>
      </w:r>
      <w:r w:rsidRPr="004F15A5">
        <w:rPr>
          <w:rFonts w:ascii="Symbol" w:hAnsi="Symbol"/>
        </w:rPr>
        <w:t>b</w:t>
      </w:r>
      <w:r>
        <w:t xml:space="preserve"> and database values.</w:t>
      </w:r>
    </w:p>
    <w:p w14:paraId="1F1EF951" w14:textId="77777777" w:rsidR="00A04C5A" w:rsidRDefault="00A04C5A" w:rsidP="00A04C5A">
      <w:pPr>
        <w:keepNext/>
      </w:pPr>
      <w:r>
        <w:rPr>
          <w:noProof/>
        </w:rPr>
        <w:lastRenderedPageBreak/>
        <w:drawing>
          <wp:inline distT="0" distB="0" distL="0" distR="0" wp14:anchorId="39C0ECDA" wp14:editId="603B1D26">
            <wp:extent cx="5755005" cy="36029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5005" cy="3602990"/>
                    </a:xfrm>
                    <a:prstGeom prst="rect">
                      <a:avLst/>
                    </a:prstGeom>
                    <a:noFill/>
                  </pic:spPr>
                </pic:pic>
              </a:graphicData>
            </a:graphic>
          </wp:inline>
        </w:drawing>
      </w:r>
    </w:p>
    <w:p w14:paraId="60540BB7" w14:textId="711E4F7E" w:rsidR="00A04C5A" w:rsidRDefault="00A04C5A" w:rsidP="00A04C5A">
      <w:pPr>
        <w:pStyle w:val="Caption"/>
        <w:rPr>
          <w:noProof/>
        </w:rPr>
      </w:pPr>
      <w:r>
        <w:t>Figure S</w:t>
      </w:r>
      <w:r w:rsidR="007E4BC1">
        <w:fldChar w:fldCharType="begin"/>
      </w:r>
      <w:r w:rsidR="007E4BC1">
        <w:instrText xml:space="preserve"> SEQ Figure \* ARABIC </w:instrText>
      </w:r>
      <w:r w:rsidR="007E4BC1">
        <w:fldChar w:fldCharType="separate"/>
      </w:r>
      <w:r w:rsidR="00C50E1F">
        <w:rPr>
          <w:noProof/>
        </w:rPr>
        <w:t>5</w:t>
      </w:r>
      <w:r w:rsidR="007E4BC1">
        <w:rPr>
          <w:noProof/>
        </w:rPr>
        <w:fldChar w:fldCharType="end"/>
      </w:r>
      <w:r>
        <w:t xml:space="preserve"> - Plot of the deviation between modelled values of </w:t>
      </w:r>
      <w:r w:rsidRPr="00A35CB2">
        <w:rPr>
          <w:rFonts w:ascii="Symbol" w:hAnsi="Symbol" w:cs="Arial (Body CS)"/>
        </w:rPr>
        <w:t>g</w:t>
      </w:r>
      <w:r>
        <w:t xml:space="preserve"> and database values.</w:t>
      </w:r>
    </w:p>
    <w:p w14:paraId="218B2B88" w14:textId="77777777" w:rsidR="00C50E1F" w:rsidRDefault="00C50E1F" w:rsidP="00C50E1F">
      <w:pPr>
        <w:keepNext/>
      </w:pPr>
      <w:r>
        <w:rPr>
          <w:noProof/>
        </w:rPr>
        <w:drawing>
          <wp:inline distT="0" distB="0" distL="0" distR="0" wp14:anchorId="46D1DAE0" wp14:editId="5723E5FF">
            <wp:extent cx="5761355" cy="30784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1355" cy="3078480"/>
                    </a:xfrm>
                    <a:prstGeom prst="rect">
                      <a:avLst/>
                    </a:prstGeom>
                    <a:noFill/>
                  </pic:spPr>
                </pic:pic>
              </a:graphicData>
            </a:graphic>
          </wp:inline>
        </w:drawing>
      </w:r>
    </w:p>
    <w:p w14:paraId="5883CA87" w14:textId="04821472" w:rsidR="00A04C5A" w:rsidRDefault="00C50E1F" w:rsidP="00C50E1F">
      <w:pPr>
        <w:pStyle w:val="Caption"/>
      </w:pPr>
      <w:r>
        <w:t>Figure S</w:t>
      </w:r>
      <w:fldSimple w:instr=" SEQ Figure \* ARABIC ">
        <w:r>
          <w:rPr>
            <w:noProof/>
          </w:rPr>
          <w:t>6</w:t>
        </w:r>
      </w:fldSimple>
      <w:r>
        <w:t xml:space="preserve"> - Plot of the deviation between modelled values of </w:t>
      </w:r>
      <w:r>
        <w:rPr>
          <w:rFonts w:ascii="Arial" w:hAnsi="Arial" w:cs="Arial"/>
        </w:rPr>
        <w:t>δ</w:t>
      </w:r>
      <w:r>
        <w:t xml:space="preserve"> and database values.</w:t>
      </w:r>
    </w:p>
    <w:p w14:paraId="6E8DB874" w14:textId="5BAC97C7" w:rsidR="00DD4F50" w:rsidRDefault="00DD4F50" w:rsidP="00DD4F50">
      <w:pPr>
        <w:pStyle w:val="Heading1"/>
      </w:pPr>
      <w:r>
        <w:t>References</w:t>
      </w:r>
    </w:p>
    <w:p w14:paraId="0ACD6072" w14:textId="115051A4" w:rsidR="00CC5813" w:rsidRPr="00CC5813" w:rsidRDefault="00CC5813" w:rsidP="00DD4F50">
      <w:pPr>
        <w:widowControl w:val="0"/>
        <w:autoSpaceDE w:val="0"/>
        <w:autoSpaceDN w:val="0"/>
        <w:adjustRightInd w:val="0"/>
        <w:spacing w:after="120" w:line="240" w:lineRule="auto"/>
        <w:ind w:left="641" w:hanging="641"/>
        <w:rPr>
          <w:rFonts w:ascii="Calibri" w:hAnsi="Calibri" w:cs="Calibri"/>
          <w:noProof/>
          <w:szCs w:val="24"/>
        </w:rPr>
      </w:pPr>
      <w:r>
        <w:fldChar w:fldCharType="begin" w:fldLock="1"/>
      </w:r>
      <w:r>
        <w:instrText xml:space="preserve">ADDIN Mendeley Bibliography CSL_BIBLIOGRAPHY </w:instrText>
      </w:r>
      <w:r>
        <w:fldChar w:fldCharType="separate"/>
      </w:r>
      <w:r w:rsidRPr="00CC5813">
        <w:rPr>
          <w:rFonts w:ascii="Calibri" w:hAnsi="Calibri" w:cs="Calibri"/>
          <w:noProof/>
          <w:szCs w:val="24"/>
        </w:rPr>
        <w:t>[1]</w:t>
      </w:r>
      <w:r w:rsidRPr="00CC5813">
        <w:rPr>
          <w:rFonts w:ascii="Calibri" w:hAnsi="Calibri" w:cs="Calibri"/>
          <w:noProof/>
          <w:szCs w:val="24"/>
        </w:rPr>
        <w:tab/>
        <w:t xml:space="preserve">M. B. Trzhaskovskaya and V. G. Yarzhemsky, “Dirac–Fock photoionization parameters for HAXPES applications,” </w:t>
      </w:r>
      <w:r w:rsidRPr="00CC5813">
        <w:rPr>
          <w:rFonts w:ascii="Calibri" w:hAnsi="Calibri" w:cs="Calibri"/>
          <w:i/>
          <w:iCs/>
          <w:noProof/>
          <w:szCs w:val="24"/>
        </w:rPr>
        <w:t>At. Data Nucl. Data Tables</w:t>
      </w:r>
      <w:r w:rsidRPr="00CC5813">
        <w:rPr>
          <w:rFonts w:ascii="Calibri" w:hAnsi="Calibri" w:cs="Calibri"/>
          <w:noProof/>
          <w:szCs w:val="24"/>
        </w:rPr>
        <w:t>, vol. 119, pp. 99–174, Jan. 2018, doi: 10.1016/J.ADT.2017.04.003.</w:t>
      </w:r>
    </w:p>
    <w:p w14:paraId="03F9BBED" w14:textId="77777777" w:rsidR="00CC5813" w:rsidRPr="00CC5813" w:rsidRDefault="00CC5813" w:rsidP="00CC5813">
      <w:pPr>
        <w:widowControl w:val="0"/>
        <w:autoSpaceDE w:val="0"/>
        <w:autoSpaceDN w:val="0"/>
        <w:adjustRightInd w:val="0"/>
        <w:spacing w:line="240" w:lineRule="auto"/>
        <w:ind w:left="640" w:hanging="640"/>
        <w:rPr>
          <w:rFonts w:ascii="Calibri" w:hAnsi="Calibri" w:cs="Calibri"/>
          <w:noProof/>
        </w:rPr>
      </w:pPr>
      <w:r w:rsidRPr="00CC5813">
        <w:rPr>
          <w:rFonts w:ascii="Calibri" w:hAnsi="Calibri" w:cs="Calibri"/>
          <w:noProof/>
          <w:szCs w:val="24"/>
        </w:rPr>
        <w:t>[2]</w:t>
      </w:r>
      <w:r w:rsidRPr="00CC5813">
        <w:rPr>
          <w:rFonts w:ascii="Calibri" w:hAnsi="Calibri" w:cs="Calibri"/>
          <w:noProof/>
          <w:szCs w:val="24"/>
        </w:rPr>
        <w:tab/>
        <w:t xml:space="preserve">M. B. Trzhaskovskaya and V. G. Yarzhemsky, “Dirac–Fock photoionization parameters for HAXPES applications, Part II: Inner atomic shells,” </w:t>
      </w:r>
      <w:r w:rsidRPr="00CC5813">
        <w:rPr>
          <w:rFonts w:ascii="Calibri" w:hAnsi="Calibri" w:cs="Calibri"/>
          <w:i/>
          <w:iCs/>
          <w:noProof/>
          <w:szCs w:val="24"/>
        </w:rPr>
        <w:t>At. Data Nucl. Data Tables</w:t>
      </w:r>
      <w:r w:rsidRPr="00CC5813">
        <w:rPr>
          <w:rFonts w:ascii="Calibri" w:hAnsi="Calibri" w:cs="Calibri"/>
          <w:noProof/>
          <w:szCs w:val="24"/>
        </w:rPr>
        <w:t>, vol. 129–130, p. 101280, Sep. 2019, doi: 10.1016/J.ADT.2019.05.001.</w:t>
      </w:r>
    </w:p>
    <w:p w14:paraId="3FFED41E" w14:textId="1FA33B8F" w:rsidR="00A04C5A" w:rsidRPr="00A04C5A" w:rsidRDefault="00CC5813" w:rsidP="00A04C5A">
      <w:pPr>
        <w:tabs>
          <w:tab w:val="left" w:pos="2955"/>
        </w:tabs>
      </w:pPr>
      <w:r>
        <w:lastRenderedPageBreak/>
        <w:fldChar w:fldCharType="end"/>
      </w:r>
    </w:p>
    <w:sectPr w:rsidR="00A04C5A" w:rsidRPr="00A04C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768E99" w14:textId="77777777" w:rsidR="006D7FDF" w:rsidRDefault="006D7FDF" w:rsidP="006D7FDF">
      <w:pPr>
        <w:spacing w:after="0" w:line="240" w:lineRule="auto"/>
      </w:pPr>
      <w:r>
        <w:separator/>
      </w:r>
    </w:p>
  </w:endnote>
  <w:endnote w:type="continuationSeparator" w:id="0">
    <w:p w14:paraId="4C98CEAD" w14:textId="77777777" w:rsidR="006D7FDF" w:rsidRDefault="006D7FDF" w:rsidP="006D7F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Body CS)">
    <w:panose1 w:val="00000000000000000000"/>
    <w:charset w:val="00"/>
    <w:family w:val="roman"/>
    <w:notTrueType/>
    <w:pitch w:val="default"/>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F67623" w14:textId="77777777" w:rsidR="006D7FDF" w:rsidRDefault="006D7FDF" w:rsidP="006D7FDF">
      <w:pPr>
        <w:spacing w:after="0" w:line="240" w:lineRule="auto"/>
      </w:pPr>
      <w:r>
        <w:separator/>
      </w:r>
    </w:p>
  </w:footnote>
  <w:footnote w:type="continuationSeparator" w:id="0">
    <w:p w14:paraId="071C1A68" w14:textId="77777777" w:rsidR="006D7FDF" w:rsidRDefault="006D7FDF" w:rsidP="006D7F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B35"/>
    <w:rsid w:val="001F2B35"/>
    <w:rsid w:val="00240B16"/>
    <w:rsid w:val="004E0FB7"/>
    <w:rsid w:val="00546F99"/>
    <w:rsid w:val="006D7FDF"/>
    <w:rsid w:val="0076095E"/>
    <w:rsid w:val="007E4BC1"/>
    <w:rsid w:val="007F267E"/>
    <w:rsid w:val="0091150B"/>
    <w:rsid w:val="00A04C5A"/>
    <w:rsid w:val="00A33496"/>
    <w:rsid w:val="00A35CB2"/>
    <w:rsid w:val="00C50E1F"/>
    <w:rsid w:val="00CC5813"/>
    <w:rsid w:val="00DC4BC1"/>
    <w:rsid w:val="00DD4F50"/>
    <w:rsid w:val="00EC12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7278F0B"/>
  <w15:chartTrackingRefBased/>
  <w15:docId w15:val="{18218695-D7BB-48B7-85FA-057897F64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2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2B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2B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2B3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A35CB2"/>
    <w:pPr>
      <w:spacing w:after="200" w:line="240" w:lineRule="auto"/>
    </w:pPr>
    <w:rPr>
      <w:sz w:val="18"/>
      <w:szCs w:val="18"/>
    </w:rPr>
  </w:style>
  <w:style w:type="character" w:styleId="CommentReference">
    <w:name w:val="annotation reference"/>
    <w:basedOn w:val="DefaultParagraphFont"/>
    <w:uiPriority w:val="99"/>
    <w:semiHidden/>
    <w:unhideWhenUsed/>
    <w:rsid w:val="001F2B35"/>
    <w:rPr>
      <w:sz w:val="16"/>
      <w:szCs w:val="16"/>
    </w:rPr>
  </w:style>
  <w:style w:type="paragraph" w:styleId="CommentText">
    <w:name w:val="annotation text"/>
    <w:basedOn w:val="Normal"/>
    <w:link w:val="CommentTextChar"/>
    <w:uiPriority w:val="99"/>
    <w:unhideWhenUsed/>
    <w:rsid w:val="001F2B35"/>
    <w:pPr>
      <w:spacing w:line="240" w:lineRule="auto"/>
    </w:pPr>
    <w:rPr>
      <w:sz w:val="20"/>
      <w:szCs w:val="20"/>
    </w:rPr>
  </w:style>
  <w:style w:type="character" w:customStyle="1" w:styleId="CommentTextChar">
    <w:name w:val="Comment Text Char"/>
    <w:basedOn w:val="DefaultParagraphFont"/>
    <w:link w:val="CommentText"/>
    <w:uiPriority w:val="99"/>
    <w:rsid w:val="001F2B35"/>
    <w:rPr>
      <w:sz w:val="20"/>
      <w:szCs w:val="20"/>
    </w:rPr>
  </w:style>
  <w:style w:type="paragraph" w:styleId="BalloonText">
    <w:name w:val="Balloon Text"/>
    <w:basedOn w:val="Normal"/>
    <w:link w:val="BalloonTextChar"/>
    <w:uiPriority w:val="99"/>
    <w:semiHidden/>
    <w:unhideWhenUsed/>
    <w:rsid w:val="006D7F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FDF"/>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6D7FDF"/>
    <w:rPr>
      <w:b/>
      <w:bCs/>
    </w:rPr>
  </w:style>
  <w:style w:type="character" w:customStyle="1" w:styleId="CommentSubjectChar">
    <w:name w:val="Comment Subject Char"/>
    <w:basedOn w:val="CommentTextChar"/>
    <w:link w:val="CommentSubject"/>
    <w:uiPriority w:val="99"/>
    <w:semiHidden/>
    <w:rsid w:val="006D7F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6B1E63AC331F4789398C17A525E3FC" ma:contentTypeVersion="14" ma:contentTypeDescription="Create a new document." ma:contentTypeScope="" ma:versionID="e7c83f00aacd181830ec8ce5f487405c">
  <xsd:schema xmlns:xsd="http://www.w3.org/2001/XMLSchema" xmlns:xs="http://www.w3.org/2001/XMLSchema" xmlns:p="http://schemas.microsoft.com/office/2006/metadata/properties" xmlns:ns3="00b0f0f4-0e66-43d3-b3b9-1eaf7399bde9" xmlns:ns4="69ae1aad-509c-486c-81d1-f343ecaefcb3" targetNamespace="http://schemas.microsoft.com/office/2006/metadata/properties" ma:root="true" ma:fieldsID="55254db549f6169dd54c21b6a3e92f68" ns3:_="" ns4:_="">
    <xsd:import namespace="00b0f0f4-0e66-43d3-b3b9-1eaf7399bde9"/>
    <xsd:import namespace="69ae1aad-509c-486c-81d1-f343ecaefcb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Location"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b0f0f4-0e66-43d3-b3b9-1eaf7399bd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9ae1aad-509c-486c-81d1-f343ecaefcb3"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CB51A3-4C36-49E4-AA7D-DB682507C6F7}">
  <ds:schemaRefs>
    <ds:schemaRef ds:uri="http://purl.org/dc/elements/1.1/"/>
    <ds:schemaRef ds:uri="http://purl.org/dc/dcmitype/"/>
    <ds:schemaRef ds:uri="http://www.w3.org/XML/1998/namespace"/>
    <ds:schemaRef ds:uri="http://schemas.openxmlformats.org/package/2006/metadata/core-properties"/>
    <ds:schemaRef ds:uri="http://schemas.microsoft.com/office/2006/documentManagement/types"/>
    <ds:schemaRef ds:uri="00b0f0f4-0e66-43d3-b3b9-1eaf7399bde9"/>
    <ds:schemaRef ds:uri="http://schemas.microsoft.com/office/infopath/2007/PartnerControls"/>
    <ds:schemaRef ds:uri="69ae1aad-509c-486c-81d1-f343ecaefcb3"/>
    <ds:schemaRef ds:uri="http://schemas.microsoft.com/office/2006/metadata/properties"/>
    <ds:schemaRef ds:uri="http://purl.org/dc/terms/"/>
  </ds:schemaRefs>
</ds:datastoreItem>
</file>

<file path=customXml/itemProps2.xml><?xml version="1.0" encoding="utf-8"?>
<ds:datastoreItem xmlns:ds="http://schemas.openxmlformats.org/officeDocument/2006/customXml" ds:itemID="{AE88B098-FA29-440F-9138-C9157EEDC176}">
  <ds:schemaRefs>
    <ds:schemaRef ds:uri="http://schemas.microsoft.com/sharepoint/v3/contenttype/forms"/>
  </ds:schemaRefs>
</ds:datastoreItem>
</file>

<file path=customXml/itemProps3.xml><?xml version="1.0" encoding="utf-8"?>
<ds:datastoreItem xmlns:ds="http://schemas.openxmlformats.org/officeDocument/2006/customXml" ds:itemID="{09AEFE98-A90A-4FD1-912B-834C54895F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b0f0f4-0e66-43d3-b3b9-1eaf7399bde9"/>
    <ds:schemaRef ds:uri="69ae1aad-509c-486c-81d1-f343ecaef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1B935F-94D5-4E1D-A6BF-C78A17D766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5</Pages>
  <Words>2057</Words>
  <Characters>11725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Cant</dc:creator>
  <cp:keywords/>
  <dc:description/>
  <cp:lastModifiedBy>David Cant</cp:lastModifiedBy>
  <cp:revision>10</cp:revision>
  <dcterms:created xsi:type="dcterms:W3CDTF">2021-09-16T20:31:00Z</dcterms:created>
  <dcterms:modified xsi:type="dcterms:W3CDTF">2021-09-23T14:19:00Z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df4b5af-ab42-45d5-91e7-45583bed1b2a_Enabled">
    <vt:lpwstr>true</vt:lpwstr>
  </property>
  <property fmtid="{D5CDD505-2E9C-101B-9397-08002B2CF9AE}" pid="3" name="MSIP_Label_9df4b5af-ab42-45d5-91e7-45583bed1b2a_SetDate">
    <vt:lpwstr>2021-09-09T02:14:35Z</vt:lpwstr>
  </property>
  <property fmtid="{D5CDD505-2E9C-101B-9397-08002B2CF9AE}" pid="4" name="MSIP_Label_9df4b5af-ab42-45d5-91e7-45583bed1b2a_Method">
    <vt:lpwstr>Standard</vt:lpwstr>
  </property>
  <property fmtid="{D5CDD505-2E9C-101B-9397-08002B2CF9AE}" pid="5" name="MSIP_Label_9df4b5af-ab42-45d5-91e7-45583bed1b2a_Name">
    <vt:lpwstr>9df4b5af-ab42-45d5-91e7-45583bed1b2a</vt:lpwstr>
  </property>
  <property fmtid="{D5CDD505-2E9C-101B-9397-08002B2CF9AE}" pid="6" name="MSIP_Label_9df4b5af-ab42-45d5-91e7-45583bed1b2a_SiteId">
    <vt:lpwstr>601e5460-b1bf-49c0-bd2d-e76ffc186a8d</vt:lpwstr>
  </property>
  <property fmtid="{D5CDD505-2E9C-101B-9397-08002B2CF9AE}" pid="7" name="MSIP_Label_9df4b5af-ab42-45d5-91e7-45583bed1b2a_ActionId">
    <vt:lpwstr>34f0eff8-45e0-4af9-8df6-4fe8426f4b4a</vt:lpwstr>
  </property>
  <property fmtid="{D5CDD505-2E9C-101B-9397-08002B2CF9AE}" pid="8" name="MSIP_Label_9df4b5af-ab42-45d5-91e7-45583bed1b2a_ContentBits">
    <vt:lpwstr>0</vt:lpwstr>
  </property>
  <property fmtid="{D5CDD505-2E9C-101B-9397-08002B2CF9AE}" pid="9" name="Mendeley Document_1">
    <vt:lpwstr>True</vt:lpwstr>
  </property>
  <property fmtid="{D5CDD505-2E9C-101B-9397-08002B2CF9AE}" pid="10" name="Mendeley Unique User Id_1">
    <vt:lpwstr>fbfcaadd-802f-3cc4-b8c1-e431a8b4f768</vt:lpwstr>
  </property>
  <property fmtid="{D5CDD505-2E9C-101B-9397-08002B2CF9AE}" pid="11" name="Mendeley Citation Style_1">
    <vt:lpwstr>http://www.zotero.org/styles/ieee</vt:lpwstr>
  </property>
  <property fmtid="{D5CDD505-2E9C-101B-9397-08002B2CF9AE}" pid="12" name="Mendeley Recent Style Id 0_1">
    <vt:lpwstr>http://www.zotero.org/styles/american-chemical-society</vt:lpwstr>
  </property>
  <property fmtid="{D5CDD505-2E9C-101B-9397-08002B2CF9AE}" pid="13" name="Mendeley Recent Style Name 0_1">
    <vt:lpwstr>American Chemical Society</vt:lpwstr>
  </property>
  <property fmtid="{D5CDD505-2E9C-101B-9397-08002B2CF9AE}" pid="14" name="Mendeley Recent Style Id 1_1">
    <vt:lpwstr>http://www.zotero.org/styles/american-medical-association</vt:lpwstr>
  </property>
  <property fmtid="{D5CDD505-2E9C-101B-9397-08002B2CF9AE}" pid="15" name="Mendeley Recent Style Name 1_1">
    <vt:lpwstr>American Medical Association</vt:lpwstr>
  </property>
  <property fmtid="{D5CDD505-2E9C-101B-9397-08002B2CF9AE}" pid="16" name="Mendeley Recent Style Id 2_1">
    <vt:lpwstr>http://www.zotero.org/styles/chicago-author-date</vt:lpwstr>
  </property>
  <property fmtid="{D5CDD505-2E9C-101B-9397-08002B2CF9AE}" pid="17" name="Mendeley Recent Style Name 2_1">
    <vt:lpwstr>Chicago Manual of Style 17th edition (author-date)</vt:lpwstr>
  </property>
  <property fmtid="{D5CDD505-2E9C-101B-9397-08002B2CF9AE}" pid="18" name="Mendeley Recent Style Id 3_1">
    <vt:lpwstr>http://www.zotero.org/styles/harvard-cite-them-right</vt:lpwstr>
  </property>
  <property fmtid="{D5CDD505-2E9C-101B-9397-08002B2CF9AE}" pid="19" name="Mendeley Recent Style Name 3_1">
    <vt:lpwstr>Cite Them Right 10th edition - Harvard</vt:lpwstr>
  </property>
  <property fmtid="{D5CDD505-2E9C-101B-9397-08002B2CF9AE}" pid="20" name="Mendeley Recent Style Id 4_1">
    <vt:lpwstr>http://www.zotero.org/styles/ieee</vt:lpwstr>
  </property>
  <property fmtid="{D5CDD505-2E9C-101B-9397-08002B2CF9AE}" pid="21" name="Mendeley Recent Style Name 4_1">
    <vt:lpwstr>IEEE</vt:lpwstr>
  </property>
  <property fmtid="{D5CDD505-2E9C-101B-9397-08002B2CF9AE}" pid="22" name="Mendeley Recent Style Id 5_1">
    <vt:lpwstr>http://www.zotero.org/styles/langmuir</vt:lpwstr>
  </property>
  <property fmtid="{D5CDD505-2E9C-101B-9397-08002B2CF9AE}" pid="23" name="Mendeley Recent Style Name 5_1">
    <vt:lpwstr>Langmuir</vt:lpwstr>
  </property>
  <property fmtid="{D5CDD505-2E9C-101B-9397-08002B2CF9AE}" pid="24" name="Mendeley Recent Style Id 6_1">
    <vt:lpwstr>http://www.zotero.org/styles/modern-language-association</vt:lpwstr>
  </property>
  <property fmtid="{D5CDD505-2E9C-101B-9397-08002B2CF9AE}" pid="25" name="Mendeley Recent Style Name 6_1">
    <vt:lpwstr>Modern Language Association 8th edition</vt:lpwstr>
  </property>
  <property fmtid="{D5CDD505-2E9C-101B-9397-08002B2CF9AE}" pid="26" name="Mendeley Recent Style Id 7_1">
    <vt:lpwstr>http://www.zotero.org/styles/nature</vt:lpwstr>
  </property>
  <property fmtid="{D5CDD505-2E9C-101B-9397-08002B2CF9AE}" pid="27" name="Mendeley Recent Style Name 7_1">
    <vt:lpwstr>Nature</vt:lpwstr>
  </property>
  <property fmtid="{D5CDD505-2E9C-101B-9397-08002B2CF9AE}" pid="28" name="Mendeley Recent Style Id 8_1">
    <vt:lpwstr>http://www.zotero.org/styles/springerprotocols</vt:lpwstr>
  </property>
  <property fmtid="{D5CDD505-2E9C-101B-9397-08002B2CF9AE}" pid="29" name="Mendeley Recent Style Name 8_1">
    <vt:lpwstr>SpringerProtocols</vt:lpwstr>
  </property>
  <property fmtid="{D5CDD505-2E9C-101B-9397-08002B2CF9AE}" pid="30" name="Mendeley Recent Style Id 9_1">
    <vt:lpwstr>http://www.zotero.org/styles/the-journal-of-physical-chemistry-c</vt:lpwstr>
  </property>
  <property fmtid="{D5CDD505-2E9C-101B-9397-08002B2CF9AE}" pid="31" name="Mendeley Recent Style Name 9_1">
    <vt:lpwstr>The Journal of Physical Chemistry C</vt:lpwstr>
  </property>
  <property fmtid="{D5CDD505-2E9C-101B-9397-08002B2CF9AE}" pid="32" name="ContentTypeId">
    <vt:lpwstr>0x010100746B1E63AC331F4789398C17A525E3FC</vt:lpwstr>
  </property>
</Properties>
</file>