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0D9F" w14:textId="2483A45A" w:rsidR="00D014C1" w:rsidRDefault="00767C68">
      <w:pPr>
        <w:pStyle w:val="Title"/>
      </w:pPr>
      <w:r>
        <w:t>ICIS 202</w:t>
      </w:r>
      <w:r w:rsidR="008F0364">
        <w:t>2</w:t>
      </w:r>
      <w:r>
        <w:t xml:space="preserve"> </w:t>
      </w:r>
      <w:r w:rsidR="008F0364">
        <w:t>Copenhagen</w:t>
      </w:r>
      <w:r>
        <w:t xml:space="preserve"> Paper Title</w:t>
      </w:r>
    </w:p>
    <w:p w14:paraId="1730C683" w14:textId="110C818D" w:rsidR="00D014C1" w:rsidRDefault="00767C68" w:rsidP="003523BA">
      <w:pPr>
        <w:pBdr>
          <w:top w:val="nil"/>
          <w:left w:val="nil"/>
          <w:bottom w:val="nil"/>
          <w:right w:val="nil"/>
          <w:between w:val="nil"/>
        </w:pBdr>
        <w:jc w:val="center"/>
        <w:rPr>
          <w:rFonts w:eastAsia="Georgia"/>
          <w:i/>
          <w:color w:val="000000"/>
          <w:sz w:val="24"/>
          <w:szCs w:val="24"/>
        </w:rPr>
      </w:pPr>
      <w:r>
        <w:rPr>
          <w:rFonts w:eastAsia="Georgia"/>
          <w:i/>
          <w:color w:val="FF0000"/>
          <w:sz w:val="24"/>
          <w:szCs w:val="24"/>
        </w:rPr>
        <w:t>Indicate Submission Type:</w:t>
      </w:r>
      <w:r>
        <w:rPr>
          <w:rFonts w:eastAsia="Georgia"/>
          <w:color w:val="FF0000"/>
          <w:sz w:val="24"/>
          <w:szCs w:val="24"/>
        </w:rPr>
        <w:t xml:space="preserve"> </w:t>
      </w:r>
      <w:r>
        <w:rPr>
          <w:rFonts w:eastAsia="Georgia"/>
          <w:i/>
          <w:color w:val="000000"/>
          <w:sz w:val="24"/>
          <w:szCs w:val="24"/>
        </w:rPr>
        <w:t>Completed Research Paper, Short Paper</w:t>
      </w:r>
      <w:r w:rsidR="003523BA">
        <w:rPr>
          <w:rFonts w:eastAsia="Georgia"/>
          <w:i/>
          <w:color w:val="000000"/>
          <w:sz w:val="24"/>
          <w:szCs w:val="24"/>
        </w:rPr>
        <w:t xml:space="preserve">, </w:t>
      </w:r>
      <w:r>
        <w:rPr>
          <w:rFonts w:eastAsia="Georgia"/>
          <w:i/>
          <w:color w:val="000000"/>
          <w:sz w:val="24"/>
          <w:szCs w:val="24"/>
        </w:rPr>
        <w:t xml:space="preserve">Teaching Case, Panel, </w:t>
      </w:r>
      <w:r w:rsidR="0034427C">
        <w:rPr>
          <w:rFonts w:eastAsia="Georgia"/>
          <w:i/>
          <w:color w:val="000000"/>
          <w:sz w:val="24"/>
          <w:szCs w:val="24"/>
        </w:rPr>
        <w:t>or</w:t>
      </w:r>
      <w:r w:rsidR="00B76152">
        <w:rPr>
          <w:rFonts w:eastAsia="Georgia"/>
          <w:i/>
          <w:color w:val="000000"/>
          <w:sz w:val="24"/>
          <w:szCs w:val="24"/>
        </w:rPr>
        <w:t xml:space="preserve"> </w:t>
      </w:r>
      <w:r>
        <w:rPr>
          <w:rFonts w:eastAsia="Georgia"/>
          <w:i/>
          <w:color w:val="000000"/>
          <w:sz w:val="24"/>
          <w:szCs w:val="24"/>
        </w:rPr>
        <w:t>PDW</w:t>
      </w:r>
      <w:r w:rsidR="003523BA" w:rsidRPr="003523BA">
        <w:rPr>
          <w:rFonts w:eastAsia="Georgia"/>
          <w:i/>
          <w:color w:val="000000"/>
          <w:sz w:val="24"/>
          <w:szCs w:val="24"/>
        </w:rPr>
        <w:t xml:space="preserve"> </w:t>
      </w:r>
    </w:p>
    <w:p w14:paraId="6D6ABBC9" w14:textId="2BFF663F" w:rsidR="00D014C1" w:rsidRDefault="001B5513">
      <w:pPr>
        <w:rPr>
          <w:b/>
          <w:color w:val="FF0000"/>
          <w:sz w:val="28"/>
          <w:szCs w:val="28"/>
        </w:rPr>
      </w:pPr>
      <w:bookmarkStart w:id="0" w:name="_heading=h.gjdgxs" w:colFirst="0" w:colLast="0"/>
      <w:bookmarkEnd w:id="0"/>
      <w:r>
        <w:rPr>
          <w:b/>
          <w:color w:val="FF0000"/>
          <w:sz w:val="28"/>
          <w:szCs w:val="28"/>
        </w:rPr>
        <w:t>&lt;&lt;&lt;</w:t>
      </w:r>
      <w:r w:rsidR="00767C68">
        <w:rPr>
          <w:b/>
          <w:color w:val="FF0000"/>
          <w:sz w:val="28"/>
          <w:szCs w:val="28"/>
        </w:rPr>
        <w:t>Authors and abstracts SHOULD NOT BE in the file that contains the body of the paper — they are added during the submissions process in the review system.</w:t>
      </w:r>
      <w:r>
        <w:rPr>
          <w:b/>
          <w:color w:val="FF0000"/>
          <w:sz w:val="28"/>
          <w:szCs w:val="28"/>
        </w:rPr>
        <w:t>&gt;&gt;&gt;</w:t>
      </w:r>
    </w:p>
    <w:p w14:paraId="3E7A9F1C" w14:textId="77777777" w:rsidR="00D014C1" w:rsidRDefault="00767C68">
      <w:pPr>
        <w:pStyle w:val="Heading1"/>
      </w:pPr>
      <w:r>
        <w:t>Introduction</w:t>
      </w:r>
    </w:p>
    <w:p w14:paraId="2E8F8450" w14:textId="77777777" w:rsidR="00D014C1" w:rsidRDefault="00767C68">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Pr>
          <w:rFonts w:ascii="Courier New" w:eastAsia="Courier New" w:hAnsi="Courier New" w:cs="Courier New"/>
        </w:rPr>
        <w:t>Normal, Heading, Bullet, References, Title, Author, Affiliation</w:t>
      </w:r>
      <w:r>
        <w:t>) that are designed to reduce the work in formatting your final submission.</w:t>
      </w:r>
    </w:p>
    <w:p w14:paraId="26A9AF88" w14:textId="77777777" w:rsidR="00D014C1" w:rsidRDefault="00767C68">
      <w:pPr>
        <w:pStyle w:val="Heading1"/>
      </w:pPr>
      <w:r>
        <w:t>Page Size and Spacing</w:t>
      </w:r>
    </w:p>
    <w:p w14:paraId="3E42F710" w14:textId="7117ECC3" w:rsidR="00D014C1" w:rsidRDefault="00767C68">
      <w:r>
        <w:t xml:space="preserve">On each page, your material (not including the header and footer) should fit within a rectangle of </w:t>
      </w:r>
      <w:r w:rsidRPr="002B42D7">
        <w:t>1</w:t>
      </w:r>
      <w:r w:rsidR="00763282">
        <w:t>6.5</w:t>
      </w:r>
      <w:r w:rsidRPr="002B42D7">
        <w:t xml:space="preserve"> x 2</w:t>
      </w:r>
      <w:r w:rsidR="00763282">
        <w:t>2</w:t>
      </w:r>
      <w:r w:rsidRPr="002B42D7">
        <w:t>.</w:t>
      </w:r>
      <w:r w:rsidR="00763282">
        <w:t>8</w:t>
      </w:r>
      <w:r w:rsidRPr="002B42D7">
        <w:t xml:space="preserve"> cm (</w:t>
      </w:r>
      <w:r w:rsidR="00763282">
        <w:t>6.5</w:t>
      </w:r>
      <w:r w:rsidRPr="002B42D7">
        <w:t xml:space="preserve"> x 9 in.),</w:t>
      </w:r>
      <w:r>
        <w:t xml:space="preserve"> centered on a US letter page, beginning </w:t>
      </w:r>
      <w:r w:rsidRPr="002B42D7">
        <w:t>1.</w:t>
      </w:r>
      <w:r w:rsidR="00763282">
        <w:t>27</w:t>
      </w:r>
      <w:r w:rsidRPr="002B42D7">
        <w:t xml:space="preserve"> cm (</w:t>
      </w:r>
      <w:r w:rsidR="00763282">
        <w:t>0</w:t>
      </w:r>
      <w:r w:rsidRPr="002B42D7">
        <w:t xml:space="preserve">.5 in.) </w:t>
      </w:r>
      <w:r>
        <w:t xml:space="preserve">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Pr>
          <w:b/>
        </w:rPr>
        <w:t>US letter size</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roofErr w:type="gramStart"/>
      <w:r>
        <w:rPr>
          <w:rFonts w:eastAsia="Georgia"/>
          <w:color w:val="000000"/>
        </w:rPr>
        <w:t>);</w:t>
      </w:r>
      <w:proofErr w:type="gramEnd"/>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roofErr w:type="gramStart"/>
      <w:r>
        <w:rPr>
          <w:rFonts w:eastAsia="Georgia"/>
          <w:color w:val="000000"/>
        </w:rPr>
        <w:t>);</w:t>
      </w:r>
      <w:proofErr w:type="gramEnd"/>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w:t>
      </w:r>
      <w:proofErr w:type="gramStart"/>
      <w:r>
        <w:rPr>
          <w:rFonts w:eastAsia="Georgia"/>
          <w:color w:val="000000"/>
        </w:rPr>
        <w:t>spacing;</w:t>
      </w:r>
      <w:proofErr w:type="gramEnd"/>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w:t>
      </w:r>
      <w:proofErr w:type="gramStart"/>
      <w:r>
        <w:rPr>
          <w:rFonts w:eastAsia="Georgia"/>
          <w:color w:val="000000"/>
        </w:rPr>
        <w:t>processors;</w:t>
      </w:r>
      <w:proofErr w:type="gramEnd"/>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not edit the styles in this </w:t>
      </w:r>
      <w:proofErr w:type="gramStart"/>
      <w:r>
        <w:rPr>
          <w:rFonts w:eastAsia="Georgia"/>
          <w:color w:val="000000"/>
        </w:rPr>
        <w:t>template;</w:t>
      </w:r>
      <w:proofErr w:type="gramEnd"/>
    </w:p>
    <w:p w14:paraId="6A3DF587" w14:textId="77777777" w:rsidR="00D014C1" w:rsidRDefault="00767C68">
      <w:pPr>
        <w:numPr>
          <w:ilvl w:val="0"/>
          <w:numId w:val="2"/>
        </w:numPr>
        <w:pBdr>
          <w:top w:val="nil"/>
          <w:left w:val="nil"/>
          <w:bottom w:val="nil"/>
          <w:right w:val="nil"/>
          <w:between w:val="nil"/>
        </w:pBdr>
      </w:pPr>
      <w:r>
        <w:rPr>
          <w:rFonts w:eastAsia="Georgia"/>
          <w:color w:val="000000"/>
        </w:rPr>
        <w:t xml:space="preserve">Please ensure all text is justified, not “ragged” </w:t>
      </w:r>
      <w:proofErr w:type="gramStart"/>
      <w:r>
        <w:rPr>
          <w:rFonts w:eastAsia="Georgia"/>
          <w:color w:val="000000"/>
        </w:rPr>
        <w:t>( =</w:t>
      </w:r>
      <w:proofErr w:type="gramEnd"/>
      <w:r>
        <w:rPr>
          <w:rFonts w:eastAsia="Georgia"/>
          <w:color w:val="000000"/>
        </w:rPr>
        <w:t xml:space="preserve"> left-aligned).</w:t>
      </w:r>
    </w:p>
    <w:p w14:paraId="00C83433" w14:textId="77777777" w:rsidR="00D014C1" w:rsidRDefault="00767C68">
      <w:r>
        <w:t>Non-compliance of these instructions may lead to desk rejection of your paper.</w:t>
      </w:r>
    </w:p>
    <w:p w14:paraId="686DB02C" w14:textId="504FBE61" w:rsidR="00D014C1" w:rsidRDefault="00767C68">
      <w:pPr>
        <w:pStyle w:val="Heading1"/>
      </w:pPr>
      <w:r>
        <w:t xml:space="preserve">Length </w:t>
      </w:r>
      <w:r w:rsidR="00B30224">
        <w:tab/>
      </w:r>
    </w:p>
    <w:p w14:paraId="331AA1AF" w14:textId="229DEE0F" w:rsidR="00D014C1" w:rsidRDefault="00767C68">
      <w:r>
        <w:t xml:space="preserve">Each type of submission (completed research papers, short papers, teaching cases, panels and PDWs) has specific page length requirements. </w:t>
      </w:r>
      <w:r w:rsidRPr="008E3F52">
        <w:t xml:space="preserve">See </w:t>
      </w:r>
      <w:r w:rsidRPr="001B5513">
        <w:t>the requirements</w:t>
      </w:r>
      <w:r w:rsidRPr="32FE1827">
        <w:t xml:space="preserve"> </w:t>
      </w:r>
      <w:r>
        <w:t>specific to each type of submission</w:t>
      </w:r>
      <w:r w:rsidR="000D3FB4">
        <w:t xml:space="preserve"> in the </w:t>
      </w:r>
      <w:hyperlink r:id="rId8" w:history="1">
        <w:r w:rsidR="000D3FB4" w:rsidRPr="009E56D4">
          <w:rPr>
            <w:rStyle w:val="Hyperlink"/>
            <w:i/>
          </w:rPr>
          <w:t>Types of Submission</w:t>
        </w:r>
        <w:r w:rsidR="001D7379" w:rsidRPr="009E56D4">
          <w:rPr>
            <w:rStyle w:val="Hyperlink"/>
            <w:i/>
          </w:rPr>
          <w:t>s &amp; Instruction</w:t>
        </w:r>
        <w:r w:rsidR="000D3FB4" w:rsidRPr="009E56D4">
          <w:rPr>
            <w:rStyle w:val="Hyperlink"/>
            <w:i/>
          </w:rPr>
          <w:t>s</w:t>
        </w:r>
      </w:hyperlink>
      <w:r w:rsidR="000D3FB4">
        <w:t xml:space="preserve"> document</w:t>
      </w:r>
      <w:r>
        <w:t xml:space="preserve">. </w:t>
      </w:r>
      <w:r w:rsidRPr="009C078A">
        <w:rPr>
          <w:b/>
          <w:bCs/>
        </w:rPr>
        <w:t>Any submission that exceeds page length limits will be rejected without review</w:t>
      </w:r>
      <w:r w:rsidRPr="32FE1827">
        <w:t>.</w:t>
      </w:r>
    </w:p>
    <w:p w14:paraId="59AD10AE" w14:textId="77777777" w:rsidR="00D014C1" w:rsidRDefault="00767C68">
      <w:pPr>
        <w:pStyle w:val="Heading1"/>
      </w:pPr>
      <w:r>
        <w:t>Title</w:t>
      </w:r>
    </w:p>
    <w:p w14:paraId="718FF668" w14:textId="77777777" w:rsidR="00D014C1" w:rsidRDefault="00767C68">
      <w:r>
        <w:t>Your paper’s title should be using the “Title” style in this template (which is configured as Georgia 20-point bold). Ensure proper capitalization within your title (</w:t>
      </w:r>
      <w:proofErr w:type="gramStart"/>
      <w:r>
        <w:t>i.e.</w:t>
      </w:r>
      <w:proofErr w:type="gramEnd"/>
      <w:r>
        <w:t xml:space="preserv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Heading2"/>
      </w:pPr>
      <w:r>
        <w:lastRenderedPageBreak/>
        <w:t>Normal or Body Text</w:t>
      </w:r>
    </w:p>
    <w:p w14:paraId="7D218887" w14:textId="77777777" w:rsidR="00D014C1" w:rsidRDefault="00767C68">
      <w:r>
        <w:t>Please use the “Normal” style for normal text – this style is configured as a 10-point Georgia font (</w:t>
      </w:r>
      <w:proofErr w:type="gramStart"/>
      <w:r>
        <w:t>similar to</w:t>
      </w:r>
      <w:proofErr w:type="gramEnd"/>
      <w:r>
        <w:t xml:space="preserve">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proofErr w:type="spellStart"/>
      <w:r>
        <w:rPr>
          <w:rFonts w:ascii="Courier New" w:eastAsia="Courier New" w:hAnsi="Courier New" w:cs="Courier New"/>
        </w:rPr>
        <w:t>SpecialStyle</w:t>
      </w:r>
      <w:proofErr w:type="spellEnd"/>
      <w:r>
        <w:t>). [References to Georgia font from this point forward should be interpreted as “Georgia or equivalent.”]</w:t>
      </w:r>
    </w:p>
    <w:p w14:paraId="571F67AB" w14:textId="77777777" w:rsidR="00D014C1" w:rsidRDefault="00767C68">
      <w:pPr>
        <w:pStyle w:val="Heading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Heading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Heading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Heading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Heading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lastRenderedPageBreak/>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Pr="00C04682" w:rsidRDefault="00767C68">
            <w:pPr>
              <w:pBdr>
                <w:top w:val="nil"/>
                <w:left w:val="nil"/>
                <w:bottom w:val="nil"/>
                <w:right w:val="nil"/>
                <w:between w:val="nil"/>
              </w:pBdr>
              <w:spacing w:before="120"/>
              <w:jc w:val="center"/>
              <w:rPr>
                <w:rFonts w:cs="Times New Roman"/>
                <w:b/>
                <w:color w:val="000000"/>
              </w:rPr>
            </w:pPr>
            <w:r w:rsidRPr="00C04682">
              <w:rPr>
                <w:rFonts w:cs="Times New Roman"/>
                <w:b/>
                <w:color w:val="000000"/>
              </w:rPr>
              <w:t>Figure 1.  Modified Research Model</w:t>
            </w:r>
          </w:p>
        </w:tc>
      </w:tr>
    </w:tbl>
    <w:p w14:paraId="183D04B7" w14:textId="77777777" w:rsidR="00D014C1" w:rsidRDefault="00767C68">
      <w:pPr>
        <w:pStyle w:val="Heading2"/>
      </w:pPr>
      <w:r>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rsidTr="00C04682">
        <w:trPr>
          <w:jc w:val="center"/>
        </w:trPr>
        <w:tc>
          <w:tcPr>
            <w:tcW w:w="1572" w:type="dxa"/>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r w:rsidR="00C04682" w14:paraId="74F9379E" w14:textId="77777777" w:rsidTr="0023318A">
        <w:trPr>
          <w:jc w:val="center"/>
        </w:trPr>
        <w:tc>
          <w:tcPr>
            <w:tcW w:w="4860" w:type="dxa"/>
            <w:gridSpan w:val="3"/>
            <w:tcBorders>
              <w:bottom w:val="single" w:sz="4" w:space="0" w:color="000000"/>
            </w:tcBorders>
          </w:tcPr>
          <w:p w14:paraId="272FEF39" w14:textId="79A8D8F5" w:rsidR="00C04682" w:rsidRPr="00C04682" w:rsidRDefault="00C04682" w:rsidP="00C04682">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tc>
      </w:tr>
    </w:tbl>
    <w:p w14:paraId="467064AB" w14:textId="77777777" w:rsidR="00D014C1" w:rsidRPr="00AA3D12" w:rsidRDefault="00767C68">
      <w:pPr>
        <w:pStyle w:val="Heading2"/>
        <w:rPr>
          <w:lang w:val="es-CO"/>
        </w:rPr>
      </w:pPr>
      <w:proofErr w:type="spellStart"/>
      <w:r w:rsidRPr="00AA3D12">
        <w:rPr>
          <w:lang w:val="es-CO"/>
        </w:rPr>
        <w:t>Other</w:t>
      </w:r>
      <w:proofErr w:type="spellEnd"/>
      <w:r w:rsidRPr="00AA3D12">
        <w:rPr>
          <w:lang w:val="es-CO"/>
        </w:rPr>
        <w:t xml:space="preserve"> Visual Media (</w:t>
      </w:r>
      <w:proofErr w:type="spellStart"/>
      <w:r w:rsidRPr="00AA3D12">
        <w:rPr>
          <w:lang w:val="es-CO"/>
        </w:rPr>
        <w:t>e.g</w:t>
      </w:r>
      <w:proofErr w:type="spellEnd"/>
      <w:r w:rsidRPr="00AA3D12">
        <w:rPr>
          <w:lang w:val="es-CO"/>
        </w:rPr>
        <w:t xml:space="preserve">.,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xml:space="preserve">.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w:t>
      </w:r>
      <w:proofErr w:type="gramStart"/>
      <w:r>
        <w:t>user name</w:t>
      </w:r>
      <w:proofErr w:type="gramEnd"/>
      <w:r>
        <w:t xml:space="preserv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Heading1"/>
      </w:pPr>
      <w:r>
        <w:t>Language, Style, and Content</w:t>
      </w:r>
    </w:p>
    <w:p w14:paraId="52DE362F" w14:textId="77777777" w:rsidR="00D014C1" w:rsidRDefault="00767C68">
      <w:proofErr w:type="gramStart"/>
      <w:r>
        <w:t>With regard to</w:t>
      </w:r>
      <w:proofErr w:type="gramEnd"/>
      <w:r>
        <w:t xml:space="preserve">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lastRenderedPageBreak/>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Heading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3A5C768D" w14:textId="77777777" w:rsidR="00D014C1" w:rsidRDefault="00767C68">
      <w:pPr>
        <w:pStyle w:val="Heading1"/>
      </w:pPr>
      <w:r>
        <w:t xml:space="preserve">Acknowledgements (optional) </w:t>
      </w:r>
    </w:p>
    <w:p w14:paraId="1473181C" w14:textId="13F71BE2" w:rsidR="00D014C1" w:rsidRDefault="00767C68">
      <w:r>
        <w:t xml:space="preserve">Please do </w:t>
      </w:r>
      <w:r w:rsidRPr="009C078A">
        <w:rPr>
          <w:b/>
          <w:bCs/>
          <w:i/>
          <w:iCs/>
          <w:u w:val="single"/>
        </w:rPr>
        <w:t>not</w:t>
      </w:r>
      <w:r>
        <w:t xml:space="preserve"> add acknowledgements to your original submission because it will help identify authors.  Acknowledgements may be added </w:t>
      </w:r>
      <w:proofErr w:type="gramStart"/>
      <w:r w:rsidR="61E84329">
        <w:t>later</w:t>
      </w:r>
      <w:r>
        <w:t>, if</w:t>
      </w:r>
      <w:proofErr w:type="gramEnd"/>
      <w:r>
        <w:t xml:space="preserve"> the paper is accepted.</w:t>
      </w:r>
    </w:p>
    <w:p w14:paraId="6A147D17" w14:textId="77777777" w:rsidR="00D014C1" w:rsidRDefault="00767C68">
      <w:pPr>
        <w:pStyle w:val="Heading2"/>
      </w:pPr>
      <w:r>
        <w:t>References and Citations</w:t>
      </w:r>
    </w:p>
    <w:p w14:paraId="6A745A29" w14:textId="77777777" w:rsidR="00D014C1" w:rsidRDefault="00767C68">
      <w:r>
        <w:t xml:space="preserve">References are to be formatted using the </w:t>
      </w:r>
      <w:r>
        <w:rPr>
          <w:b/>
        </w:rPr>
        <w:t>new</w:t>
      </w:r>
      <w:r>
        <w:t xml:space="preserve"> </w:t>
      </w:r>
      <w:r>
        <w:rPr>
          <w:i/>
        </w:rPr>
        <w:t>MIS Quarterly</w:t>
      </w:r>
      <w:r>
        <w:t xml:space="preserve"> style (</w:t>
      </w:r>
      <w:hyperlink r:id="rId10">
        <w:r>
          <w:rPr>
            <w:color w:val="0000FF"/>
            <w:u w:val="single"/>
          </w:rPr>
          <w:t>http://www.misq.org/manuscript-guidelines</w:t>
        </w:r>
      </w:hyperlink>
      <w:r>
        <w:t xml:space="preserve"> under MISQ References Format). 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creating some inconsistencies. Please also be aware that the </w:t>
      </w:r>
      <w:r>
        <w:rPr>
          <w:i/>
        </w:rPr>
        <w:t>MIS Quarterly</w:t>
      </w:r>
      <w:r>
        <w:t xml:space="preserve"> style provided by default in the </w:t>
      </w:r>
      <w:r>
        <w:rPr>
          <w:rFonts w:ascii="Courier New" w:eastAsia="Courier New" w:hAnsi="Courier New" w:cs="Courier New"/>
        </w:rPr>
        <w:t>EndNote X4</w:t>
      </w:r>
      <w:r>
        <w:t xml:space="preserve"> software (and all earlier versions) is for the </w:t>
      </w:r>
      <w:r>
        <w:rPr>
          <w:b/>
        </w:rPr>
        <w:t>old</w:t>
      </w:r>
      <w:r>
        <w:t xml:space="preserve"> </w:t>
      </w:r>
      <w:r>
        <w:rPr>
          <w:i/>
        </w:rPr>
        <w:t>MIS Quarterly</w:t>
      </w:r>
      <w:r>
        <w:t xml:space="preserve"> style. You may access the End Note Style </w:t>
      </w:r>
      <w:hyperlink r:id="rId11">
        <w:r>
          <w:rPr>
            <w:color w:val="0000FF"/>
            <w:u w:val="single"/>
          </w:rPr>
          <w:t>here</w:t>
        </w:r>
      </w:hyperlink>
      <w:r>
        <w:t>.</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Heading1"/>
        <w:rPr>
          <w:color w:val="FF0000"/>
        </w:rPr>
      </w:pPr>
      <w:r>
        <w:t>References</w:t>
      </w:r>
    </w:p>
    <w:p w14:paraId="093D2933" w14:textId="3FA97217" w:rsidR="00D014C1" w:rsidRDefault="001B5513">
      <w:pPr>
        <w:pStyle w:val="Heading1"/>
      </w:pPr>
      <w:r>
        <w:rPr>
          <w:color w:val="FF0000"/>
        </w:rPr>
        <w:t>&lt;&lt;&lt;</w:t>
      </w:r>
      <w:r w:rsidR="00767C68">
        <w:rPr>
          <w:color w:val="FF0000"/>
        </w:rPr>
        <w:t>Please ensure that all references are present, complete, and accurate as per the examples below.</w:t>
      </w:r>
      <w:r>
        <w:rPr>
          <w:color w:val="FF0000"/>
        </w:rPr>
        <w:t>&gt;&gt;&gt;</w:t>
      </w:r>
    </w:p>
    <w:p w14:paraId="58B8F216" w14:textId="77777777" w:rsidR="00D014C1" w:rsidRDefault="00767C68">
      <w:pPr>
        <w:pBdr>
          <w:top w:val="nil"/>
          <w:left w:val="nil"/>
          <w:bottom w:val="nil"/>
          <w:right w:val="nil"/>
          <w:between w:val="nil"/>
        </w:pBdr>
        <w:spacing w:after="0"/>
        <w:ind w:left="360" w:hanging="360"/>
        <w:rPr>
          <w:rFonts w:eastAsia="Georgia"/>
          <w:color w:val="000000"/>
        </w:rPr>
      </w:pPr>
      <w:proofErr w:type="spellStart"/>
      <w:r>
        <w:rPr>
          <w:rFonts w:eastAsia="Georgia"/>
          <w:color w:val="000000"/>
        </w:rPr>
        <w:t>Ackoff</w:t>
      </w:r>
      <w:proofErr w:type="spellEnd"/>
      <w:r>
        <w:rPr>
          <w:rFonts w:eastAsia="Georgia"/>
          <w:color w:val="000000"/>
        </w:rPr>
        <w:t xml:space="preserve">, R. L.  1961. "Management Misinformation Systems," </w:t>
      </w:r>
      <w:r>
        <w:rPr>
          <w:rFonts w:eastAsia="Georgia"/>
          <w:i/>
          <w:color w:val="000000"/>
        </w:rPr>
        <w:t>Management Science</w:t>
      </w:r>
      <w:r>
        <w:rPr>
          <w:rFonts w:eastAsia="Georgia"/>
          <w:color w:val="000000"/>
        </w:rPr>
        <w:t xml:space="preserve"> (14:4), pp. 147-156.</w:t>
      </w:r>
    </w:p>
    <w:p w14:paraId="57FD657E"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Benbasat, I., and Zmud, R. W. 2003. “The Identity Crisis within the IS Discipline: Defining and Communicating the Discipline’s Core Properties,” </w:t>
      </w:r>
      <w:r>
        <w:rPr>
          <w:rFonts w:eastAsia="Georgia"/>
          <w:i/>
          <w:color w:val="000000"/>
        </w:rPr>
        <w:t>MIS Quarterly</w:t>
      </w:r>
      <w:r>
        <w:rPr>
          <w:rFonts w:eastAsia="Georgia"/>
          <w:color w:val="000000"/>
        </w:rPr>
        <w:t xml:space="preserve"> (27:2), pp. 183-194.</w:t>
      </w:r>
    </w:p>
    <w:p w14:paraId="27F74572"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Bonini, C. P.  1963.  </w:t>
      </w:r>
      <w:r>
        <w:rPr>
          <w:rFonts w:eastAsia="Georgia"/>
          <w:i/>
          <w:color w:val="000000"/>
        </w:rPr>
        <w:t>Simulation of Information and Decision Systems in the Firm</w:t>
      </w:r>
      <w:r>
        <w:rPr>
          <w:rFonts w:eastAsia="Georgia"/>
          <w:color w:val="000000"/>
        </w:rPr>
        <w:t>, Englewood Cliffs, NJ:  Prentice-Hall.</w:t>
      </w:r>
    </w:p>
    <w:p w14:paraId="24339669"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Broadbent, M., Weill, P., O’Brien, T., and Neo, B. S. 1996. “Firm Context and Patterns of IT Infrastructure Capability,” in </w:t>
      </w:r>
      <w:r>
        <w:rPr>
          <w:rFonts w:eastAsia="Georgia"/>
          <w:i/>
          <w:color w:val="000000"/>
        </w:rPr>
        <w:t>Proceedings of the 14th International Conference on Information Systems</w:t>
      </w:r>
      <w:r>
        <w:rPr>
          <w:rFonts w:eastAsia="Georgia"/>
          <w:color w:val="000000"/>
        </w:rPr>
        <w:t>, J. I. DeGross, S. Jarvenpaa, and A. Srinivasan (eds.), Cleveland, OH, pp. 174-194.</w:t>
      </w:r>
    </w:p>
    <w:p w14:paraId="27806355"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Carroll, J. 2005. “The </w:t>
      </w:r>
      <w:proofErr w:type="spellStart"/>
      <w:r>
        <w:rPr>
          <w:rFonts w:eastAsia="Georgia"/>
          <w:color w:val="000000"/>
        </w:rPr>
        <w:t>Blacksburgh</w:t>
      </w:r>
      <w:proofErr w:type="spellEnd"/>
      <w:r>
        <w:rPr>
          <w:rFonts w:eastAsia="Georgia"/>
          <w:color w:val="000000"/>
        </w:rPr>
        <w:t xml:space="preserve"> Electronic Village: A Study in Community Computing,” in </w:t>
      </w:r>
      <w:proofErr w:type="spellStart"/>
      <w:r>
        <w:rPr>
          <w:rFonts w:eastAsia="Georgia"/>
          <w:i/>
          <w:color w:val="000000"/>
        </w:rPr>
        <w:t>Digitial</w:t>
      </w:r>
      <w:proofErr w:type="spellEnd"/>
      <w:r>
        <w:rPr>
          <w:rFonts w:eastAsia="Georgia"/>
          <w:i/>
          <w:color w:val="000000"/>
        </w:rPr>
        <w:t xml:space="preserve"> Cities III: Information Technologies for Social Capital</w:t>
      </w:r>
      <w:r>
        <w:rPr>
          <w:rFonts w:eastAsia="Georgia"/>
          <w:color w:val="000000"/>
        </w:rPr>
        <w:t xml:space="preserve">, P. van den </w:t>
      </w:r>
      <w:proofErr w:type="spellStart"/>
      <w:r>
        <w:rPr>
          <w:rFonts w:eastAsia="Georgia"/>
          <w:color w:val="000000"/>
        </w:rPr>
        <w:t>Besselaar</w:t>
      </w:r>
      <w:proofErr w:type="spellEnd"/>
      <w:r>
        <w:rPr>
          <w:rFonts w:eastAsia="Georgia"/>
          <w:color w:val="000000"/>
        </w:rPr>
        <w:t xml:space="preserve"> and S. </w:t>
      </w:r>
      <w:proofErr w:type="spellStart"/>
      <w:r>
        <w:rPr>
          <w:rFonts w:eastAsia="Georgia"/>
          <w:color w:val="000000"/>
        </w:rPr>
        <w:t>Kiozumi</w:t>
      </w:r>
      <w:proofErr w:type="spellEnd"/>
      <w:r>
        <w:rPr>
          <w:rFonts w:eastAsia="Georgia"/>
          <w:color w:val="000000"/>
        </w:rPr>
        <w:t xml:space="preserve"> (eds.), New York: Springer-Verlag, pp. 43-65.</w:t>
      </w: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9C078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5029" w14:textId="77777777" w:rsidR="000B3E87" w:rsidRDefault="000B3E87">
      <w:pPr>
        <w:spacing w:after="0"/>
      </w:pPr>
      <w:r>
        <w:separator/>
      </w:r>
    </w:p>
  </w:endnote>
  <w:endnote w:type="continuationSeparator" w:id="0">
    <w:p w14:paraId="023506BB" w14:textId="77777777" w:rsidR="000B3E87" w:rsidRDefault="000B3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43D" w14:textId="666BE579" w:rsidR="00D014C1" w:rsidRDefault="00767C68" w:rsidP="00A43BE0">
    <w:pPr>
      <w:pBdr>
        <w:top w:val="nil"/>
        <w:left w:val="nil"/>
        <w:bottom w:val="nil"/>
        <w:right w:val="nil"/>
        <w:between w:val="nil"/>
      </w:pBdr>
      <w:tabs>
        <w:tab w:val="right" w:pos="9000"/>
      </w:tabs>
      <w:spacing w:after="0"/>
      <w:jc w:val="right"/>
      <w:rPr>
        <w:rFonts w:eastAsia="Georgia"/>
        <w:i/>
        <w:color w:val="000000"/>
        <w:sz w:val="18"/>
        <w:szCs w:val="18"/>
      </w:rPr>
    </w:pPr>
    <w:r>
      <w:rPr>
        <w:rFonts w:eastAsia="Georgia"/>
        <w:i/>
        <w:color w:val="000000"/>
        <w:sz w:val="18"/>
        <w:szCs w:val="18"/>
      </w:rPr>
      <w:tab/>
    </w:r>
    <w:r w:rsidR="007E6D9B" w:rsidRPr="007E6D9B">
      <w:rPr>
        <w:i/>
        <w:iCs/>
      </w:rPr>
      <w:t>Forty-Third International Conference on Information Systems, Copenhagen 2022</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672E9">
      <w:rPr>
        <w:rFonts w:eastAsia="Georgia"/>
        <w:b/>
        <w:noProof/>
        <w:color w:val="000000"/>
        <w:sz w:val="18"/>
        <w:szCs w:val="18"/>
      </w:rPr>
      <w:t>1</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Thirty-sixth International Conference on Information Systems, Forth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E3E1" w14:textId="77777777" w:rsidR="000B3E87" w:rsidRDefault="000B3E87">
      <w:pPr>
        <w:spacing w:after="0"/>
      </w:pPr>
      <w:r>
        <w:separator/>
      </w:r>
    </w:p>
  </w:footnote>
  <w:footnote w:type="continuationSeparator" w:id="0">
    <w:p w14:paraId="75245356" w14:textId="77777777" w:rsidR="000B3E87" w:rsidRDefault="000B3E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530"/>
    <w:multiLevelType w:val="multilevel"/>
    <w:tmpl w:val="4B42B82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C1"/>
    <w:rsid w:val="00076A33"/>
    <w:rsid w:val="000A3094"/>
    <w:rsid w:val="000B3E87"/>
    <w:rsid w:val="000C38A5"/>
    <w:rsid w:val="000C63BE"/>
    <w:rsid w:val="000D3FB4"/>
    <w:rsid w:val="00123485"/>
    <w:rsid w:val="00161D4D"/>
    <w:rsid w:val="001B5513"/>
    <w:rsid w:val="001D1DB9"/>
    <w:rsid w:val="001D7379"/>
    <w:rsid w:val="002033D6"/>
    <w:rsid w:val="002860EB"/>
    <w:rsid w:val="002B42D7"/>
    <w:rsid w:val="0034427C"/>
    <w:rsid w:val="003523BA"/>
    <w:rsid w:val="003F0B73"/>
    <w:rsid w:val="003F7B5B"/>
    <w:rsid w:val="004338A0"/>
    <w:rsid w:val="00515604"/>
    <w:rsid w:val="00583E74"/>
    <w:rsid w:val="00587427"/>
    <w:rsid w:val="006226C6"/>
    <w:rsid w:val="00633811"/>
    <w:rsid w:val="0067660D"/>
    <w:rsid w:val="006F31A4"/>
    <w:rsid w:val="00763282"/>
    <w:rsid w:val="00767C68"/>
    <w:rsid w:val="00777D73"/>
    <w:rsid w:val="007E6D9B"/>
    <w:rsid w:val="008201F8"/>
    <w:rsid w:val="00825596"/>
    <w:rsid w:val="00891BD8"/>
    <w:rsid w:val="008A08FD"/>
    <w:rsid w:val="008E3F52"/>
    <w:rsid w:val="008F0364"/>
    <w:rsid w:val="00922ACD"/>
    <w:rsid w:val="00955BC2"/>
    <w:rsid w:val="0099041A"/>
    <w:rsid w:val="009B164E"/>
    <w:rsid w:val="009C078A"/>
    <w:rsid w:val="009E56D4"/>
    <w:rsid w:val="00A43BE0"/>
    <w:rsid w:val="00A672E9"/>
    <w:rsid w:val="00AA3D12"/>
    <w:rsid w:val="00B30224"/>
    <w:rsid w:val="00B76152"/>
    <w:rsid w:val="00BB666C"/>
    <w:rsid w:val="00BE3D75"/>
    <w:rsid w:val="00BE4A0C"/>
    <w:rsid w:val="00C04682"/>
    <w:rsid w:val="00C62C41"/>
    <w:rsid w:val="00D014C1"/>
    <w:rsid w:val="00DB6A70"/>
    <w:rsid w:val="00E94E2E"/>
    <w:rsid w:val="00EA386D"/>
    <w:rsid w:val="00FB2F48"/>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35"/>
    <w:rPr>
      <w:rFonts w:eastAsia="Times New Roman"/>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3"/>
      </w:numPr>
      <w:spacing w:before="240" w:after="60"/>
      <w:outlineLvl w:val="3"/>
    </w:pPr>
    <w:rPr>
      <w:b/>
    </w:rPr>
  </w:style>
  <w:style w:type="paragraph" w:styleId="Heading5">
    <w:name w:val="heading 5"/>
    <w:basedOn w:val="Normal"/>
    <w:next w:val="Normal"/>
    <w:qFormat/>
    <w:rsid w:val="00C2763A"/>
    <w:pPr>
      <w:numPr>
        <w:ilvl w:val="4"/>
        <w:numId w:val="3"/>
      </w:numPr>
      <w:spacing w:before="240" w:after="60"/>
      <w:outlineLvl w:val="4"/>
    </w:pPr>
    <w:rPr>
      <w:b/>
      <w:i/>
    </w:rPr>
  </w:style>
  <w:style w:type="paragraph" w:styleId="Heading6">
    <w:name w:val="heading 6"/>
    <w:basedOn w:val="Normal"/>
    <w:next w:val="Normal"/>
    <w:qFormat/>
    <w:rsid w:val="002211FA"/>
    <w:pPr>
      <w:numPr>
        <w:ilvl w:val="5"/>
        <w:numId w:val="3"/>
      </w:numPr>
      <w:spacing w:before="240" w:after="60"/>
      <w:outlineLvl w:val="5"/>
    </w:pPr>
    <w:rPr>
      <w:b/>
      <w:sz w:val="22"/>
    </w:rPr>
  </w:style>
  <w:style w:type="paragraph" w:styleId="Heading7">
    <w:name w:val="heading 7"/>
    <w:basedOn w:val="Normal"/>
    <w:next w:val="Normal"/>
    <w:qFormat/>
    <w:rsid w:val="002211FA"/>
    <w:pPr>
      <w:numPr>
        <w:ilvl w:val="6"/>
        <w:numId w:val="3"/>
      </w:numPr>
      <w:spacing w:before="240" w:after="60"/>
      <w:outlineLvl w:val="6"/>
    </w:pPr>
  </w:style>
  <w:style w:type="paragraph" w:styleId="Heading8">
    <w:name w:val="heading 8"/>
    <w:basedOn w:val="Normal"/>
    <w:next w:val="Normal"/>
    <w:qFormat/>
    <w:rsid w:val="002211FA"/>
    <w:pPr>
      <w:numPr>
        <w:ilvl w:val="7"/>
        <w:numId w:val="3"/>
      </w:numPr>
      <w:spacing w:before="240" w:after="60"/>
      <w:outlineLvl w:val="7"/>
    </w:pPr>
    <w:rPr>
      <w:i/>
    </w:rPr>
  </w:style>
  <w:style w:type="paragraph" w:styleId="Heading9">
    <w:name w:val="heading 9"/>
    <w:basedOn w:val="Normal"/>
    <w:next w:val="Normal"/>
    <w:qFormat/>
    <w:rsid w:val="002211FA"/>
    <w:pPr>
      <w:numPr>
        <w:ilvl w:val="8"/>
        <w:numId w:val="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4"/>
      </w:numPr>
    </w:pPr>
  </w:style>
  <w:style w:type="paragraph" w:styleId="ListBullet2">
    <w:name w:val="List Bullet 2"/>
    <w:basedOn w:val="Normal"/>
    <w:autoRedefine/>
    <w:rsid w:val="002211FA"/>
    <w:pPr>
      <w:tabs>
        <w:tab w:val="num" w:pos="720"/>
      </w:tabs>
      <w:ind w:left="720" w:hanging="720"/>
    </w:pPr>
  </w:style>
  <w:style w:type="paragraph" w:styleId="ListBullet3">
    <w:name w:val="List Bullet 3"/>
    <w:basedOn w:val="Normal"/>
    <w:autoRedefine/>
    <w:rsid w:val="002211FA"/>
    <w:pPr>
      <w:tabs>
        <w:tab w:val="num" w:pos="720"/>
      </w:tabs>
      <w:ind w:left="720" w:hanging="720"/>
    </w:pPr>
  </w:style>
  <w:style w:type="paragraph" w:styleId="ListBullet4">
    <w:name w:val="List Bullet 4"/>
    <w:basedOn w:val="Normal"/>
    <w:autoRedefine/>
    <w:rsid w:val="002211FA"/>
    <w:pPr>
      <w:tabs>
        <w:tab w:val="num" w:pos="720"/>
      </w:tabs>
      <w:ind w:left="720" w:hanging="720"/>
    </w:pPr>
  </w:style>
  <w:style w:type="paragraph" w:styleId="ListBullet5">
    <w:name w:val="List Bullet 5"/>
    <w:basedOn w:val="Normal"/>
    <w:autoRedefine/>
    <w:rsid w:val="002211FA"/>
    <w:pPr>
      <w:tabs>
        <w:tab w:val="num" w:pos="720"/>
      </w:tabs>
      <w:ind w:left="720" w:hanging="720"/>
    </w:pPr>
  </w:style>
  <w:style w:type="paragraph" w:styleId="ListNumber">
    <w:name w:val="List Number"/>
    <w:basedOn w:val="Normal"/>
    <w:rsid w:val="002211FA"/>
    <w:pPr>
      <w:tabs>
        <w:tab w:val="num" w:pos="720"/>
      </w:tabs>
      <w:ind w:left="720" w:hanging="720"/>
    </w:pPr>
  </w:style>
  <w:style w:type="paragraph" w:styleId="ListNumber2">
    <w:name w:val="List Number 2"/>
    <w:basedOn w:val="Normal"/>
    <w:rsid w:val="002211FA"/>
    <w:pPr>
      <w:tabs>
        <w:tab w:val="num" w:pos="720"/>
      </w:tabs>
      <w:ind w:left="720" w:hanging="720"/>
    </w:pPr>
  </w:style>
  <w:style w:type="paragraph" w:styleId="ListNumber3">
    <w:name w:val="List Number 3"/>
    <w:basedOn w:val="Normal"/>
    <w:rsid w:val="002211FA"/>
    <w:pPr>
      <w:tabs>
        <w:tab w:val="num" w:pos="720"/>
      </w:tabs>
      <w:ind w:left="720" w:hanging="720"/>
    </w:pPr>
  </w:style>
  <w:style w:type="paragraph" w:styleId="ListNumber4">
    <w:name w:val="List Number 4"/>
    <w:basedOn w:val="Normal"/>
    <w:rsid w:val="002211FA"/>
    <w:pPr>
      <w:tabs>
        <w:tab w:val="num" w:pos="720"/>
      </w:tabs>
      <w:ind w:left="720" w:hanging="720"/>
    </w:pPr>
  </w:style>
  <w:style w:type="paragraph" w:styleId="ListNumber5">
    <w:name w:val="List Number 5"/>
    <w:basedOn w:val="Normal"/>
    <w:rsid w:val="002211FA"/>
    <w:pPr>
      <w:tabs>
        <w:tab w:val="num" w:pos="720"/>
      </w:tabs>
      <w:ind w:left="720" w:hanging="720"/>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paragraph" w:styleId="Subtitle">
    <w:name w:val="Subtitle"/>
    <w:basedOn w:val="Normal"/>
    <w:next w:val="Normal"/>
    <w:pPr>
      <w:keepNext/>
      <w:keepLines/>
      <w:spacing w:before="360" w:after="80"/>
    </w:pPr>
    <w:rPr>
      <w:rFonts w:eastAsia="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3F7B5B"/>
    <w:rPr>
      <w:color w:val="605E5C"/>
      <w:shd w:val="clear" w:color="auto" w:fill="E1DFDD"/>
    </w:rPr>
  </w:style>
  <w:style w:type="character" w:customStyle="1" w:styleId="UnresolvedMention2">
    <w:name w:val="Unresolved Mention2"/>
    <w:basedOn w:val="DefaultParagraphFont"/>
    <w:uiPriority w:val="99"/>
    <w:semiHidden/>
    <w:unhideWhenUsed/>
    <w:rsid w:val="00344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2022.aisconferences.org/submissions/types-of-submission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dnote.com/downloads/style/mis-quarterl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sq.org/manuscript-guideli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1806</Words>
  <Characters>8943</Characters>
  <Application>Microsoft Office Word</Application>
  <DocSecurity>0</DocSecurity>
  <Lines>388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2022-03-11T13:35:00Z</dcterms:created>
  <dcterms:modified xsi:type="dcterms:W3CDTF">2022-03-11T13:35:00Z</dcterms:modified>
</cp:coreProperties>
</file>