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4AE1"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Module Four Assessment: Evaluating the Effectiveness of an AI-Generated Dress Code Policy</w:t>
      </w:r>
    </w:p>
    <w:p w14:paraId="1D8062F2"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Executive Summary</w:t>
      </w:r>
    </w:p>
    <w:p w14:paraId="6160A325"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The Claude-generated business-casual dress code policy effectively addressed the primary challenge of unclear communication for a hybrid workforce. The solution demonstrates strong organizational structure and practical applicability, though it contains notable limitations regarding demographic representation and regional assumptions that would require human HR expertise to refine.</w:t>
      </w:r>
    </w:p>
    <w:p w14:paraId="535FBC59"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pict w14:anchorId="0DA51C9D">
          <v:rect id="_x0000_i1061" style="width:0;height:1.5pt" o:hralign="center" o:hrstd="t" o:hr="t" fillcolor="#a0a0a0" stroked="f"/>
        </w:pict>
      </w:r>
    </w:p>
    <w:p w14:paraId="1AC9907B"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1. Effectiveness of the AI-Generated Solution</w:t>
      </w:r>
    </w:p>
    <w:p w14:paraId="41B8729C"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Alignment with Scenario Requirements</w:t>
      </w:r>
    </w:p>
    <w:p w14:paraId="5C119FCA"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The Claude-generated policy successfully addressed the core problem: communicating clear, unambiguous dress code expectations to a diverse, hybrid employee base. The original scenario identified confusion stemming from vague business-casual standards, and the policy directly resolved this through categorical breakdown and explicit examples.</w:t>
      </w:r>
    </w:p>
    <w:p w14:paraId="2B2BEF69"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Strengths in meeting requirements:</w:t>
      </w:r>
    </w:p>
    <w:p w14:paraId="4F8C5F9E" w14:textId="77777777" w:rsidR="0078377C" w:rsidRPr="0078377C" w:rsidRDefault="0078377C" w:rsidP="0078377C">
      <w:pPr>
        <w:numPr>
          <w:ilvl w:val="0"/>
          <w:numId w:val="1"/>
        </w:numPr>
        <w:rPr>
          <w:rFonts w:ascii="Times New Roman" w:hAnsi="Times New Roman" w:cs="Times New Roman"/>
          <w:sz w:val="24"/>
          <w:szCs w:val="24"/>
        </w:rPr>
      </w:pPr>
      <w:r w:rsidRPr="0078377C">
        <w:rPr>
          <w:rFonts w:ascii="Times New Roman" w:hAnsi="Times New Roman" w:cs="Times New Roman"/>
          <w:sz w:val="24"/>
          <w:szCs w:val="24"/>
        </w:rPr>
        <w:t>The categorical structure (tops, bottoms, footwear, accessories) provides clear navigational pathways for employees seeking guidance</w:t>
      </w:r>
    </w:p>
    <w:p w14:paraId="573D0D62" w14:textId="77777777" w:rsidR="0078377C" w:rsidRPr="0078377C" w:rsidRDefault="0078377C" w:rsidP="0078377C">
      <w:pPr>
        <w:numPr>
          <w:ilvl w:val="0"/>
          <w:numId w:val="1"/>
        </w:numPr>
        <w:rPr>
          <w:rFonts w:ascii="Times New Roman" w:hAnsi="Times New Roman" w:cs="Times New Roman"/>
          <w:sz w:val="24"/>
          <w:szCs w:val="24"/>
        </w:rPr>
      </w:pPr>
      <w:r w:rsidRPr="0078377C">
        <w:rPr>
          <w:rFonts w:ascii="Times New Roman" w:hAnsi="Times New Roman" w:cs="Times New Roman"/>
          <w:sz w:val="24"/>
          <w:szCs w:val="24"/>
        </w:rPr>
        <w:t>Specific examples eliminate subjective interpretation—employees know "jeans are unacceptable" rather than relying on judgment about what constitutes "professional"</w:t>
      </w:r>
    </w:p>
    <w:p w14:paraId="5C375266" w14:textId="77777777" w:rsidR="0078377C" w:rsidRPr="0078377C" w:rsidRDefault="0078377C" w:rsidP="0078377C">
      <w:pPr>
        <w:numPr>
          <w:ilvl w:val="0"/>
          <w:numId w:val="1"/>
        </w:numPr>
        <w:rPr>
          <w:rFonts w:ascii="Times New Roman" w:hAnsi="Times New Roman" w:cs="Times New Roman"/>
          <w:sz w:val="24"/>
          <w:szCs w:val="24"/>
        </w:rPr>
      </w:pPr>
      <w:r w:rsidRPr="0078377C">
        <w:rPr>
          <w:rFonts w:ascii="Times New Roman" w:hAnsi="Times New Roman" w:cs="Times New Roman"/>
          <w:sz w:val="24"/>
          <w:szCs w:val="24"/>
        </w:rPr>
        <w:t>Remote vs. in-office distinction acknowledges the hybrid work reality, addressing a gap that many traditional policies overlook</w:t>
      </w:r>
    </w:p>
    <w:p w14:paraId="5160FF2D" w14:textId="77777777" w:rsidR="0078377C" w:rsidRPr="0078377C" w:rsidRDefault="0078377C" w:rsidP="0078377C">
      <w:pPr>
        <w:numPr>
          <w:ilvl w:val="0"/>
          <w:numId w:val="1"/>
        </w:numPr>
        <w:rPr>
          <w:rFonts w:ascii="Times New Roman" w:hAnsi="Times New Roman" w:cs="Times New Roman"/>
          <w:sz w:val="24"/>
          <w:szCs w:val="24"/>
        </w:rPr>
      </w:pPr>
      <w:r w:rsidRPr="0078377C">
        <w:rPr>
          <w:rFonts w:ascii="Times New Roman" w:hAnsi="Times New Roman" w:cs="Times New Roman"/>
          <w:sz w:val="24"/>
          <w:szCs w:val="24"/>
        </w:rPr>
        <w:t>The exceptions paragraph demonstrates awareness of legal compliance needs around religious accommodation and disability</w:t>
      </w:r>
    </w:p>
    <w:p w14:paraId="112A3F50"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Practical Enforceability</w:t>
      </w:r>
    </w:p>
    <w:p w14:paraId="1CCB8B00"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 xml:space="preserve">The policy is enforceable because it provides measurable standards. A manager can objectively determine whether a shirt is collared or whether pants are knee-length. However, some categories retain minor </w:t>
      </w:r>
      <w:proofErr w:type="gramStart"/>
      <w:r w:rsidRPr="0078377C">
        <w:rPr>
          <w:rFonts w:ascii="Times New Roman" w:hAnsi="Times New Roman" w:cs="Times New Roman"/>
          <w:sz w:val="24"/>
          <w:szCs w:val="24"/>
        </w:rPr>
        <w:t>subjectivity—"</w:t>
      </w:r>
      <w:proofErr w:type="gramEnd"/>
      <w:r w:rsidRPr="0078377C">
        <w:rPr>
          <w:rFonts w:ascii="Times New Roman" w:hAnsi="Times New Roman" w:cs="Times New Roman"/>
          <w:sz w:val="24"/>
          <w:szCs w:val="24"/>
        </w:rPr>
        <w:t>professional styles" for accessories and "modest makeup" still require interpretation, though this is minimal compared to purely descriptive approaches.</w:t>
      </w:r>
    </w:p>
    <w:p w14:paraId="47A0358C"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Limitations in Execution</w:t>
      </w:r>
    </w:p>
    <w:p w14:paraId="68331EB0"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 xml:space="preserve">The policy assumes a professional service or corporate environment and may not translate directly </w:t>
      </w:r>
      <w:proofErr w:type="gramStart"/>
      <w:r w:rsidRPr="0078377C">
        <w:rPr>
          <w:rFonts w:ascii="Times New Roman" w:hAnsi="Times New Roman" w:cs="Times New Roman"/>
          <w:sz w:val="24"/>
          <w:szCs w:val="24"/>
        </w:rPr>
        <w:t>to</w:t>
      </w:r>
      <w:proofErr w:type="gramEnd"/>
      <w:r w:rsidRPr="0078377C">
        <w:rPr>
          <w:rFonts w:ascii="Times New Roman" w:hAnsi="Times New Roman" w:cs="Times New Roman"/>
          <w:sz w:val="24"/>
          <w:szCs w:val="24"/>
        </w:rPr>
        <w:t xml:space="preserve"> creative industries, tech companies, or blue-collar hybrid roles where dress norms differ significantly. The policy also lacks specific guidance on layering beyond "cardigans over acceptable tops," which could create confusion during seasonal transitions.</w:t>
      </w:r>
    </w:p>
    <w:p w14:paraId="0C2D362F"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pict w14:anchorId="12475AD3">
          <v:rect id="_x0000_i1062" style="width:0;height:1.5pt" o:hralign="center" o:hrstd="t" o:hr="t" fillcolor="#a0a0a0" stroked="f"/>
        </w:pict>
      </w:r>
    </w:p>
    <w:p w14:paraId="3D84604C"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2. Comparison: AI Tool vs. Human HR Professional</w:t>
      </w:r>
    </w:p>
    <w:p w14:paraId="1A6F186E"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Areas Where Claude Performed Comparably or Better Than a Human</w:t>
      </w:r>
    </w:p>
    <w:p w14:paraId="3308FF1D"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Speed and efficiency:</w:t>
      </w:r>
      <w:r w:rsidRPr="0078377C">
        <w:rPr>
          <w:rFonts w:ascii="Times New Roman" w:hAnsi="Times New Roman" w:cs="Times New Roman"/>
          <w:sz w:val="24"/>
          <w:szCs w:val="24"/>
        </w:rPr>
        <w:t xml:space="preserve"> Claude generated a comprehensive, structured policy in seconds. A human HR professional would require hours of research, drafting, and internal review to produce equivalent output.</w:t>
      </w:r>
    </w:p>
    <w:p w14:paraId="7B2FDC7D"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Organizational clarity:</w:t>
      </w:r>
      <w:r w:rsidRPr="0078377C">
        <w:rPr>
          <w:rFonts w:ascii="Times New Roman" w:hAnsi="Times New Roman" w:cs="Times New Roman"/>
          <w:sz w:val="24"/>
          <w:szCs w:val="24"/>
        </w:rPr>
        <w:t xml:space="preserve"> The policy's systematic categorical structure is exceptionally well-organized. A human professional might produce similar organization, but Claude's output is consistently logical without the iterative revisions humans typically require.</w:t>
      </w:r>
    </w:p>
    <w:p w14:paraId="762AA942"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Comprehensiveness of examples:</w:t>
      </w:r>
      <w:r w:rsidRPr="0078377C">
        <w:rPr>
          <w:rFonts w:ascii="Times New Roman" w:hAnsi="Times New Roman" w:cs="Times New Roman"/>
          <w:sz w:val="24"/>
          <w:szCs w:val="24"/>
        </w:rPr>
        <w:t xml:space="preserve"> Claude included 20+ specific examples across categories, demonstrating thorough coverage. A human might miss edge cases (e.g., the explicit mention of "leather or professional sneakers in neutral colors" as acceptable, which prevents ambiguity about footwear).</w:t>
      </w:r>
    </w:p>
    <w:p w14:paraId="5DAC40EF"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Tone consistency:</w:t>
      </w:r>
      <w:r w:rsidRPr="0078377C">
        <w:rPr>
          <w:rFonts w:ascii="Times New Roman" w:hAnsi="Times New Roman" w:cs="Times New Roman"/>
          <w:sz w:val="24"/>
          <w:szCs w:val="24"/>
        </w:rPr>
        <w:t xml:space="preserve"> The language maintains professional yet accessible tone throughout without lapses into either bureaucratic jargon or overly casual phrasing—consistency that humans sometimes struggle to maintain across a long document.</w:t>
      </w:r>
    </w:p>
    <w:p w14:paraId="344409AF"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Areas Where a Human HR Professional Would Produce Superior Output</w:t>
      </w:r>
    </w:p>
    <w:p w14:paraId="313457E4"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Legal sophistication:</w:t>
      </w:r>
      <w:r w:rsidRPr="0078377C">
        <w:rPr>
          <w:rFonts w:ascii="Times New Roman" w:hAnsi="Times New Roman" w:cs="Times New Roman"/>
          <w:sz w:val="24"/>
          <w:szCs w:val="24"/>
        </w:rPr>
        <w:t xml:space="preserve"> While Claude included an accommodations paragraph, a human HR professional with legal background would likely add specific references to disability </w:t>
      </w:r>
      <w:proofErr w:type="gramStart"/>
      <w:r w:rsidRPr="0078377C">
        <w:rPr>
          <w:rFonts w:ascii="Times New Roman" w:hAnsi="Times New Roman" w:cs="Times New Roman"/>
          <w:sz w:val="24"/>
          <w:szCs w:val="24"/>
        </w:rPr>
        <w:t>accommodations</w:t>
      </w:r>
      <w:proofErr w:type="gramEnd"/>
      <w:r w:rsidRPr="0078377C">
        <w:rPr>
          <w:rFonts w:ascii="Times New Roman" w:hAnsi="Times New Roman" w:cs="Times New Roman"/>
          <w:sz w:val="24"/>
          <w:szCs w:val="24"/>
        </w:rPr>
        <w:t xml:space="preserve"> under the ADA, religious accommodation under Title VII, and state-specific dress code regulations. The policy lacks language about how disputes would be resolved or the appeals process.</w:t>
      </w:r>
    </w:p>
    <w:p w14:paraId="401C8D16"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Organizational culture integration:</w:t>
      </w:r>
      <w:r w:rsidRPr="0078377C">
        <w:rPr>
          <w:rFonts w:ascii="Times New Roman" w:hAnsi="Times New Roman" w:cs="Times New Roman"/>
          <w:sz w:val="24"/>
          <w:szCs w:val="24"/>
        </w:rPr>
        <w:t xml:space="preserve"> A human HR professional would interview stakeholders (employees, managers, leadership) to understand existing informal norms and tailor the policy to actual company culture. Claude generated a generic policy without such contextual input.</w:t>
      </w:r>
    </w:p>
    <w:p w14:paraId="225D54DE"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Industry-specific considerations:</w:t>
      </w:r>
      <w:r w:rsidRPr="0078377C">
        <w:rPr>
          <w:rFonts w:ascii="Times New Roman" w:hAnsi="Times New Roman" w:cs="Times New Roman"/>
          <w:sz w:val="24"/>
          <w:szCs w:val="24"/>
        </w:rPr>
        <w:t xml:space="preserve"> Claude made assumptions about industry type. A human professional would recognize that a tech startup, law firm, and manufacturing company require substantially different business-casual standards, whereas the generated policy assumes one uniform context.</w:t>
      </w:r>
    </w:p>
    <w:p w14:paraId="718D9440"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Bias mitigation through lived experience:</w:t>
      </w:r>
      <w:r w:rsidRPr="0078377C">
        <w:rPr>
          <w:rFonts w:ascii="Times New Roman" w:hAnsi="Times New Roman" w:cs="Times New Roman"/>
          <w:sz w:val="24"/>
          <w:szCs w:val="24"/>
        </w:rPr>
        <w:t xml:space="preserve"> A human professional from a diverse background might catch cultural or religious assumptions that Claude made without awareness (discussed further below). Claude's exceptions paragraph addresses this generically but not comprehensively.</w:t>
      </w:r>
    </w:p>
    <w:p w14:paraId="5F7D3FA7"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b/>
          <w:bCs/>
          <w:sz w:val="24"/>
          <w:szCs w:val="24"/>
        </w:rPr>
        <w:t>Implementation strategy:</w:t>
      </w:r>
      <w:r w:rsidRPr="0078377C">
        <w:rPr>
          <w:rFonts w:ascii="Times New Roman" w:hAnsi="Times New Roman" w:cs="Times New Roman"/>
          <w:sz w:val="24"/>
          <w:szCs w:val="24"/>
        </w:rPr>
        <w:t xml:space="preserve"> Claude provided no guidance on rollout, communication timing, or manager training—critical elements a human HR professional would include to ensure policy adoption.</w:t>
      </w:r>
    </w:p>
    <w:p w14:paraId="62FFD2CA"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pict w14:anchorId="5674156F">
          <v:rect id="_x0000_i1063" style="width:0;height:1.5pt" o:hralign="center" o:hrstd="t" o:hr="t" fillcolor="#a0a0a0" stroked="f"/>
        </w:pict>
      </w:r>
    </w:p>
    <w:p w14:paraId="0B468985"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3. Potential Benefits of Using Claude and This Prompt-Based Technique</w:t>
      </w:r>
    </w:p>
    <w:p w14:paraId="2C1669A4"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Efficiency and Rapid Iteration</w:t>
      </w:r>
    </w:p>
    <w:p w14:paraId="72DF8680"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Generative AI dramatically reduces policy development timelines. The prompt-based approach allowed comprehensive policy generation in a single iteration, whereas traditional human-led processes require multiple drafts, stakeholder meetings, and revisions. For companies needing rapid policy updates or facing time constraints, this efficiency is substantial.</w:t>
      </w:r>
    </w:p>
    <w:p w14:paraId="0437D91C"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Consistency and Comprehensiveness</w:t>
      </w:r>
    </w:p>
    <w:p w14:paraId="6D90BD58"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Claude systematically addressed all required elements without omission. The categorical approach ensures that every clothing category receives equal attention, preventing the uneven coverage that sometimes occurs in human-written policies where certain categories receive disproportionate detail.</w:t>
      </w:r>
    </w:p>
    <w:p w14:paraId="64BCBF52"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Accessibility of Expertise</w:t>
      </w:r>
    </w:p>
    <w:p w14:paraId="38048B6D"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Not all organizations have dedicated HR professionals with policy expertise. Claude democratizes policy development, enabling small businesses or departments without HR resources to generate professional-quality policies quickly. This reduces dependence on expensive external consultants.</w:t>
      </w:r>
    </w:p>
    <w:p w14:paraId="216597E3"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Template and Scalability</w:t>
      </w:r>
    </w:p>
    <w:p w14:paraId="51809749"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The policy structure serves as a replicable template. Companies can adapt this framework to other policies (grooming, remote work, etc.) by applying the same categorical, example-based approach. The technique is highly scalable across multiple policies or organizational units.</w:t>
      </w:r>
    </w:p>
    <w:p w14:paraId="4D38B1B9"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Objective Language</w:t>
      </w:r>
    </w:p>
    <w:p w14:paraId="1306D6C2"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The AI-generated policy prioritizes measurable, objective standards over subjective judgment. This reduces potential discrimination claims by providing explicit criteria rather than relying on manager discretion. The emphasis on specific colors, lengths, and closed-toe definitions creates defensibility.</w:t>
      </w:r>
    </w:p>
    <w:p w14:paraId="08698E12"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pict w14:anchorId="3E6739C9">
          <v:rect id="_x0000_i1064" style="width:0;height:1.5pt" o:hralign="center" o:hrstd="t" o:hr="t" fillcolor="#a0a0a0" stroked="f"/>
        </w:pict>
      </w:r>
    </w:p>
    <w:p w14:paraId="547C07DA"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4. Limitations and Biases in the Solution</w:t>
      </w:r>
    </w:p>
    <w:p w14:paraId="354622B1"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Embedded Assumptions About Body Type and Gender</w:t>
      </w:r>
    </w:p>
    <w:p w14:paraId="5EADBABD"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 xml:space="preserve">The policy assumes </w:t>
      </w:r>
      <w:proofErr w:type="gramStart"/>
      <w:r w:rsidRPr="0078377C">
        <w:rPr>
          <w:rFonts w:ascii="Times New Roman" w:hAnsi="Times New Roman" w:cs="Times New Roman"/>
          <w:sz w:val="24"/>
          <w:szCs w:val="24"/>
        </w:rPr>
        <w:t>a standard</w:t>
      </w:r>
      <w:proofErr w:type="gramEnd"/>
      <w:r w:rsidRPr="0078377C">
        <w:rPr>
          <w:rFonts w:ascii="Times New Roman" w:hAnsi="Times New Roman" w:cs="Times New Roman"/>
          <w:sz w:val="24"/>
          <w:szCs w:val="24"/>
        </w:rPr>
        <w:t xml:space="preserve"> body type and uses gendered language implicitly. For example, the distinction between "skirts or dresses" and separate "bottoms" sections may not serve non-binary employees well. The policy also lacks guidance for employees with different body proportions—what constitutes "knee-length" varies significantly by body type and height, potentially creating inconsistent enforcement.</w:t>
      </w:r>
    </w:p>
    <w:p w14:paraId="49E1C7B7"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Lack of Accessibility Consideration for Certain Disabilities</w:t>
      </w:r>
    </w:p>
    <w:p w14:paraId="75B79643"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While the policy mentions "reasonable accommodations" for disabilities, it lacks specificity. Employees with mobility issues may need flat footwear exclusively; employees with sensory processing differences may need fabric modifications. The generic accommodations language doesn't acknowledge these needs proactively, placing burden on employees to request exceptions rather than building accessibility into baseline standards.</w:t>
      </w:r>
    </w:p>
    <w:p w14:paraId="1F0C7FED"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Western/North American Professional Norms</w:t>
      </w:r>
    </w:p>
    <w:p w14:paraId="3D947D0A"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The policy assumes Western business-casual conventions as the default. Business-casual standards differ globally—what is professional in London differs from Singapore or Mexico City. The policy provides no flexibility for international employees or global companies. Additionally, the policy lacks cultural dress considerations beyond religious head coverings. Traditional clothing (e.g., dashikis, kurtas, saris worn as professional attire) are not explicitly addressed.</w:t>
      </w:r>
    </w:p>
    <w:p w14:paraId="048DCF97"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Implicit Socioeconomic Bias</w:t>
      </w:r>
    </w:p>
    <w:p w14:paraId="4F6176FF"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The policy assumes all employees can afford multiple sets of professional clothing. Employees experiencing financial instability may struggle to maintain separate work and personal wardrobes. The policy lacks any acknowledgment that accessibility to professional clothing represents a financial burden for lower-wage employees, potentially creating unequal enforcement based on economic class.</w:t>
      </w:r>
    </w:p>
    <w:p w14:paraId="691EF5BE"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Gender Expression and LGBTQ+ Considerations</w:t>
      </w:r>
    </w:p>
    <w:p w14:paraId="63C66372"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 xml:space="preserve">While the policy avoids explicitly gendered language ("employees" rather than "men/women"), the categorical structure (tops, bottoms, footwear, accessories) implicitly assumes traditional gender expression. Transgender or gender non-conforming employees may feel excluded or uncertain how expectations apply to them. The policy lacks proactive language affirming diverse gender </w:t>
      </w:r>
      <w:proofErr w:type="gramStart"/>
      <w:r w:rsidRPr="0078377C">
        <w:rPr>
          <w:rFonts w:ascii="Times New Roman" w:hAnsi="Times New Roman" w:cs="Times New Roman"/>
          <w:sz w:val="24"/>
          <w:szCs w:val="24"/>
        </w:rPr>
        <w:t>expression</w:t>
      </w:r>
      <w:proofErr w:type="gramEnd"/>
      <w:r w:rsidRPr="0078377C">
        <w:rPr>
          <w:rFonts w:ascii="Times New Roman" w:hAnsi="Times New Roman" w:cs="Times New Roman"/>
          <w:sz w:val="24"/>
          <w:szCs w:val="24"/>
        </w:rPr>
        <w:t xml:space="preserve"> in professional dress.</w:t>
      </w:r>
    </w:p>
    <w:p w14:paraId="4CE1FC0F"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Appearance-Based Discrimination Gaps</w:t>
      </w:r>
    </w:p>
    <w:p w14:paraId="148F97A7"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 xml:space="preserve">The policy prohibits "visible piercings beyond ears" but the reasoning behind this restriction is unclear and potentially discriminatory. Many cultures incorporate visible piercings as identity markers. Similarly, the policy accepts "hairstyles (any color)" but mentions "modest </w:t>
      </w:r>
      <w:proofErr w:type="gramStart"/>
      <w:r w:rsidRPr="0078377C">
        <w:rPr>
          <w:rFonts w:ascii="Times New Roman" w:hAnsi="Times New Roman" w:cs="Times New Roman"/>
          <w:sz w:val="24"/>
          <w:szCs w:val="24"/>
        </w:rPr>
        <w:t>makeup"—</w:t>
      </w:r>
      <w:proofErr w:type="gramEnd"/>
      <w:r w:rsidRPr="0078377C">
        <w:rPr>
          <w:rFonts w:ascii="Times New Roman" w:hAnsi="Times New Roman" w:cs="Times New Roman"/>
          <w:sz w:val="24"/>
          <w:szCs w:val="24"/>
        </w:rPr>
        <w:t>the term "modest" is subjective and could enable bias against employees who use makeup as self-expression or cultural practice.</w:t>
      </w:r>
    </w:p>
    <w:p w14:paraId="63B9B117"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Lack of Enforcement Guidance</w:t>
      </w:r>
    </w:p>
    <w:p w14:paraId="65CBADDF"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The policy states that "repeated violations may result in disciplinary action" but provides no framework for what constitutes violation severity, how managers should document issues, or what progressive discipline looks like. This creates potential for inconsistent enforcement and implicit bias in manager decision-making.</w:t>
      </w:r>
    </w:p>
    <w:p w14:paraId="51DA4124"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Remote Work Ambiguity</w:t>
      </w:r>
    </w:p>
    <w:p w14:paraId="3D01E8F5"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 xml:space="preserve">While the policy distinguishes remote and in-office standards, it doesn't address hybrid employees who split time between locations. An employee </w:t>
      </w:r>
      <w:proofErr w:type="gramStart"/>
      <w:r w:rsidRPr="0078377C">
        <w:rPr>
          <w:rFonts w:ascii="Times New Roman" w:hAnsi="Times New Roman" w:cs="Times New Roman"/>
          <w:sz w:val="24"/>
          <w:szCs w:val="24"/>
        </w:rPr>
        <w:t>working</w:t>
      </w:r>
      <w:proofErr w:type="gramEnd"/>
      <w:r w:rsidRPr="0078377C">
        <w:rPr>
          <w:rFonts w:ascii="Times New Roman" w:hAnsi="Times New Roman" w:cs="Times New Roman"/>
          <w:sz w:val="24"/>
          <w:szCs w:val="24"/>
        </w:rPr>
        <w:t xml:space="preserve"> remote three days per week and in-office two days might be unclear about daily expectations. The "prepare to dress to in-office standards" language is vague and potentially unfair.</w:t>
      </w:r>
    </w:p>
    <w:p w14:paraId="0D52C18B"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Absence of Industry Contextualization</w:t>
      </w:r>
    </w:p>
    <w:p w14:paraId="3AD7B05D"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Claude generated a generic policy without understanding whether the company operates in finance (higher formality), technology (lower formality), or healthcare (uniform requirements). This one-size-fits-all approach may be inappropriate for specialized industries with distinct professional norms.</w:t>
      </w:r>
    </w:p>
    <w:p w14:paraId="7F95A278"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pict w14:anchorId="1920B488">
          <v:rect id="_x0000_i1065" style="width:0;height:1.5pt" o:hralign="center" o:hrstd="t" o:hr="t" fillcolor="#a0a0a0" stroked="f"/>
        </w:pict>
      </w:r>
    </w:p>
    <w:p w14:paraId="2A86C8C3"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Recommendations for Human Enhancement</w:t>
      </w:r>
    </w:p>
    <w:p w14:paraId="0FD09B5D"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To address these limitations, a human HR professional should:</w:t>
      </w:r>
    </w:p>
    <w:p w14:paraId="50E4ECF1" w14:textId="77777777" w:rsidR="0078377C" w:rsidRPr="0078377C" w:rsidRDefault="0078377C" w:rsidP="0078377C">
      <w:pPr>
        <w:numPr>
          <w:ilvl w:val="0"/>
          <w:numId w:val="2"/>
        </w:numPr>
        <w:rPr>
          <w:rFonts w:ascii="Times New Roman" w:hAnsi="Times New Roman" w:cs="Times New Roman"/>
          <w:sz w:val="24"/>
          <w:szCs w:val="24"/>
        </w:rPr>
      </w:pPr>
      <w:r w:rsidRPr="0078377C">
        <w:rPr>
          <w:rFonts w:ascii="Times New Roman" w:hAnsi="Times New Roman" w:cs="Times New Roman"/>
          <w:sz w:val="24"/>
          <w:szCs w:val="24"/>
        </w:rPr>
        <w:t>Conduct employee focus groups representing diverse demographics, abilities, and backgrounds</w:t>
      </w:r>
    </w:p>
    <w:p w14:paraId="7962AF31" w14:textId="77777777" w:rsidR="0078377C" w:rsidRPr="0078377C" w:rsidRDefault="0078377C" w:rsidP="0078377C">
      <w:pPr>
        <w:numPr>
          <w:ilvl w:val="0"/>
          <w:numId w:val="2"/>
        </w:numPr>
        <w:rPr>
          <w:rFonts w:ascii="Times New Roman" w:hAnsi="Times New Roman" w:cs="Times New Roman"/>
          <w:sz w:val="24"/>
          <w:szCs w:val="24"/>
        </w:rPr>
      </w:pPr>
      <w:r w:rsidRPr="0078377C">
        <w:rPr>
          <w:rFonts w:ascii="Times New Roman" w:hAnsi="Times New Roman" w:cs="Times New Roman"/>
          <w:sz w:val="24"/>
          <w:szCs w:val="24"/>
        </w:rPr>
        <w:t xml:space="preserve">Add explicit language affirming diverse gender </w:t>
      </w:r>
      <w:proofErr w:type="gramStart"/>
      <w:r w:rsidRPr="0078377C">
        <w:rPr>
          <w:rFonts w:ascii="Times New Roman" w:hAnsi="Times New Roman" w:cs="Times New Roman"/>
          <w:sz w:val="24"/>
          <w:szCs w:val="24"/>
        </w:rPr>
        <w:t>expression</w:t>
      </w:r>
      <w:proofErr w:type="gramEnd"/>
      <w:r w:rsidRPr="0078377C">
        <w:rPr>
          <w:rFonts w:ascii="Times New Roman" w:hAnsi="Times New Roman" w:cs="Times New Roman"/>
          <w:sz w:val="24"/>
          <w:szCs w:val="24"/>
        </w:rPr>
        <w:t xml:space="preserve"> and cultural dress</w:t>
      </w:r>
    </w:p>
    <w:p w14:paraId="59E7DC3E" w14:textId="77777777" w:rsidR="0078377C" w:rsidRPr="0078377C" w:rsidRDefault="0078377C" w:rsidP="0078377C">
      <w:pPr>
        <w:numPr>
          <w:ilvl w:val="0"/>
          <w:numId w:val="2"/>
        </w:numPr>
        <w:rPr>
          <w:rFonts w:ascii="Times New Roman" w:hAnsi="Times New Roman" w:cs="Times New Roman"/>
          <w:sz w:val="24"/>
          <w:szCs w:val="24"/>
        </w:rPr>
      </w:pPr>
      <w:r w:rsidRPr="0078377C">
        <w:rPr>
          <w:rFonts w:ascii="Times New Roman" w:hAnsi="Times New Roman" w:cs="Times New Roman"/>
          <w:sz w:val="24"/>
          <w:szCs w:val="24"/>
        </w:rPr>
        <w:t>Specify accommodation request procedures with timelines</w:t>
      </w:r>
    </w:p>
    <w:p w14:paraId="2EF910AA" w14:textId="77777777" w:rsidR="0078377C" w:rsidRPr="0078377C" w:rsidRDefault="0078377C" w:rsidP="0078377C">
      <w:pPr>
        <w:numPr>
          <w:ilvl w:val="0"/>
          <w:numId w:val="2"/>
        </w:numPr>
        <w:rPr>
          <w:rFonts w:ascii="Times New Roman" w:hAnsi="Times New Roman" w:cs="Times New Roman"/>
          <w:sz w:val="24"/>
          <w:szCs w:val="24"/>
        </w:rPr>
      </w:pPr>
      <w:r w:rsidRPr="0078377C">
        <w:rPr>
          <w:rFonts w:ascii="Times New Roman" w:hAnsi="Times New Roman" w:cs="Times New Roman"/>
          <w:sz w:val="24"/>
          <w:szCs w:val="24"/>
        </w:rPr>
        <w:t>Provide manager training on unconscious bias in enforcement</w:t>
      </w:r>
    </w:p>
    <w:p w14:paraId="240110F1" w14:textId="77777777" w:rsidR="0078377C" w:rsidRPr="0078377C" w:rsidRDefault="0078377C" w:rsidP="0078377C">
      <w:pPr>
        <w:numPr>
          <w:ilvl w:val="0"/>
          <w:numId w:val="2"/>
        </w:numPr>
        <w:rPr>
          <w:rFonts w:ascii="Times New Roman" w:hAnsi="Times New Roman" w:cs="Times New Roman"/>
          <w:sz w:val="24"/>
          <w:szCs w:val="24"/>
        </w:rPr>
      </w:pPr>
      <w:r w:rsidRPr="0078377C">
        <w:rPr>
          <w:rFonts w:ascii="Times New Roman" w:hAnsi="Times New Roman" w:cs="Times New Roman"/>
          <w:sz w:val="24"/>
          <w:szCs w:val="24"/>
        </w:rPr>
        <w:t>Include regional and industry-specific variations</w:t>
      </w:r>
    </w:p>
    <w:p w14:paraId="57F3B674" w14:textId="77777777" w:rsidR="0078377C" w:rsidRPr="0078377C" w:rsidRDefault="0078377C" w:rsidP="0078377C">
      <w:pPr>
        <w:numPr>
          <w:ilvl w:val="0"/>
          <w:numId w:val="2"/>
        </w:numPr>
        <w:rPr>
          <w:rFonts w:ascii="Times New Roman" w:hAnsi="Times New Roman" w:cs="Times New Roman"/>
          <w:sz w:val="24"/>
          <w:szCs w:val="24"/>
        </w:rPr>
      </w:pPr>
      <w:r w:rsidRPr="0078377C">
        <w:rPr>
          <w:rFonts w:ascii="Times New Roman" w:hAnsi="Times New Roman" w:cs="Times New Roman"/>
          <w:sz w:val="24"/>
          <w:szCs w:val="24"/>
        </w:rPr>
        <w:t>Add legal review for compliance with anti-discrimination statutes</w:t>
      </w:r>
    </w:p>
    <w:p w14:paraId="3BAB763A" w14:textId="77777777" w:rsidR="0078377C" w:rsidRPr="0078377C" w:rsidRDefault="0078377C" w:rsidP="0078377C">
      <w:pPr>
        <w:numPr>
          <w:ilvl w:val="0"/>
          <w:numId w:val="2"/>
        </w:numPr>
        <w:rPr>
          <w:rFonts w:ascii="Times New Roman" w:hAnsi="Times New Roman" w:cs="Times New Roman"/>
          <w:sz w:val="24"/>
          <w:szCs w:val="24"/>
        </w:rPr>
      </w:pPr>
      <w:r w:rsidRPr="0078377C">
        <w:rPr>
          <w:rFonts w:ascii="Times New Roman" w:hAnsi="Times New Roman" w:cs="Times New Roman"/>
          <w:sz w:val="24"/>
          <w:szCs w:val="24"/>
        </w:rPr>
        <w:t>Define enforcement procedures and progressive discipline clearly</w:t>
      </w:r>
    </w:p>
    <w:p w14:paraId="3BE3731A"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pict w14:anchorId="16BA7716">
          <v:rect id="_x0000_i1066" style="width:0;height:1.5pt" o:hralign="center" o:hrstd="t" o:hr="t" fillcolor="#a0a0a0" stroked="f"/>
        </w:pict>
      </w:r>
    </w:p>
    <w:p w14:paraId="1FC372BB" w14:textId="77777777" w:rsidR="0078377C" w:rsidRPr="0078377C" w:rsidRDefault="0078377C" w:rsidP="0078377C">
      <w:pPr>
        <w:rPr>
          <w:rFonts w:ascii="Times New Roman" w:hAnsi="Times New Roman" w:cs="Times New Roman"/>
          <w:b/>
          <w:bCs/>
          <w:sz w:val="24"/>
          <w:szCs w:val="24"/>
        </w:rPr>
      </w:pPr>
      <w:r w:rsidRPr="0078377C">
        <w:rPr>
          <w:rFonts w:ascii="Times New Roman" w:hAnsi="Times New Roman" w:cs="Times New Roman"/>
          <w:b/>
          <w:bCs/>
          <w:sz w:val="24"/>
          <w:szCs w:val="24"/>
        </w:rPr>
        <w:t>Conclusion</w:t>
      </w:r>
    </w:p>
    <w:p w14:paraId="281531F2" w14:textId="77777777" w:rsidR="0078377C" w:rsidRPr="0078377C" w:rsidRDefault="0078377C" w:rsidP="0078377C">
      <w:pPr>
        <w:rPr>
          <w:rFonts w:ascii="Times New Roman" w:hAnsi="Times New Roman" w:cs="Times New Roman"/>
          <w:sz w:val="24"/>
          <w:szCs w:val="24"/>
        </w:rPr>
      </w:pPr>
      <w:r w:rsidRPr="0078377C">
        <w:rPr>
          <w:rFonts w:ascii="Times New Roman" w:hAnsi="Times New Roman" w:cs="Times New Roman"/>
          <w:sz w:val="24"/>
          <w:szCs w:val="24"/>
        </w:rPr>
        <w:t>Claude's prompt-based approach produced an effective foundational policy that directly addresses the core communication problem. The solution excels at efficiency, organizational clarity, and creating objective standards. However, the policy requires human HR expertise to address demographic equity, cultural inclusivity, legal nuance, and implementation strategy. The optimal outcome combines AI's structural and efficiency strengths with human judgment about organizational culture, legal risk, and inclusive design. This hybrid approach—AI-generated foundation reviewed and refined by HR professionals—represents the most effective path for policy development.</w:t>
      </w:r>
    </w:p>
    <w:p w14:paraId="7015497A" w14:textId="7CFBE7AA" w:rsidR="00E96778" w:rsidRPr="0078377C" w:rsidRDefault="0078377C">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4"/>
          <w:szCs w:val="24"/>
        </w:rPr>
        <w:t>Claude Prompt:</w:t>
      </w:r>
      <w:r>
        <w:rPr>
          <w:rFonts w:ascii="Times New Roman" w:hAnsi="Times New Roman" w:cs="Times New Roman"/>
          <w:b/>
          <w:bCs/>
          <w:sz w:val="24"/>
          <w:szCs w:val="24"/>
        </w:rPr>
        <w:br/>
      </w:r>
      <w:r w:rsidRPr="0078377C">
        <w:rPr>
          <w:rFonts w:ascii="Times New Roman" w:hAnsi="Times New Roman" w:cs="Times New Roman"/>
          <w:sz w:val="24"/>
          <w:szCs w:val="24"/>
        </w:rPr>
        <w:t>I am completing a Module Four assignment that requires me to assess the effectiveness of a generative AI solution for creating a business-casual dress code policy. In Module Three, I developed a written dress code policy using Claude as my selected AI tool. The policy included specific examples of acceptable and unacceptable clothing by category (tops, bottoms, footwear, accessories), addressed both remote and in-office standards separately, used plain language to avoid subjective terms, and incorporated an exceptions and accommodations paragraph. For this Module Four assessment, I need you to analyze the effectiveness of the Claude-generated policy and the prompt-based approach I used. Please evaluate the solution comprehensively by addressing the following: First, assess the effectiveness of the AI-generated solution. Evaluate whether the policy that Claude produced was effective for the stated scenario and its requirements. Specifically, consider whether the policy successfully addressed the core problem of unclear dress code communication for a hybrid workforce, whether it met the structural and content requirements outlined in the original prompt, and whether the policy would be practical and enforceable in a real workplace context. Second, compare the AI-generated solution to what a human resources professional would produce. Identify specific areas where Claude performed comparably to or better than a human, as well as areas where a human might have produced superior output. Consider factors such as comprehensiveness, organizational clarity, legal awareness, and practical applicability. Third, describe the potential benefits of using Claude and this prompt-based technique for policy development. What advantages does generative AI offer over traditional methods for creating corporate policies? Consider efficiency, consistency, comprehensiveness, and scalability. Fourth, identify the potential limitations and biases present in both the AI tool and the approach. What gaps exist in the policy? What assumptions did Claude make? Are there demographic groups or work situations the policy may not adequately address? What cultural or regional biases might be embedded in the output? Please provide a structured, collegiate-level analysis that I can include in my Module Four assignment submission, incorporating specific examples from the policy I provided earlier.</w:t>
      </w:r>
    </w:p>
    <w:sectPr w:rsidR="00E96778" w:rsidRPr="00783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65313"/>
    <w:multiLevelType w:val="multilevel"/>
    <w:tmpl w:val="92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C142B"/>
    <w:multiLevelType w:val="multilevel"/>
    <w:tmpl w:val="D9788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018296">
    <w:abstractNumId w:val="0"/>
  </w:num>
  <w:num w:numId="2" w16cid:durableId="302933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77C"/>
    <w:rsid w:val="002C7404"/>
    <w:rsid w:val="005918A7"/>
    <w:rsid w:val="0078377C"/>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81506"/>
  <w15:chartTrackingRefBased/>
  <w15:docId w15:val="{681C00A2-22FA-46C4-A80E-B240B68E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7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7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7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7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77C"/>
    <w:rPr>
      <w:rFonts w:eastAsiaTheme="majorEastAsia" w:cstheme="majorBidi"/>
      <w:color w:val="272727" w:themeColor="text1" w:themeTint="D8"/>
    </w:rPr>
  </w:style>
  <w:style w:type="paragraph" w:styleId="Title">
    <w:name w:val="Title"/>
    <w:basedOn w:val="Normal"/>
    <w:next w:val="Normal"/>
    <w:link w:val="TitleChar"/>
    <w:uiPriority w:val="10"/>
    <w:qFormat/>
    <w:rsid w:val="00783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7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7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377C"/>
    <w:rPr>
      <w:i/>
      <w:iCs/>
      <w:color w:val="404040" w:themeColor="text1" w:themeTint="BF"/>
    </w:rPr>
  </w:style>
  <w:style w:type="paragraph" w:styleId="ListParagraph">
    <w:name w:val="List Paragraph"/>
    <w:basedOn w:val="Normal"/>
    <w:uiPriority w:val="34"/>
    <w:qFormat/>
    <w:rsid w:val="0078377C"/>
    <w:pPr>
      <w:ind w:left="720"/>
      <w:contextualSpacing/>
    </w:pPr>
  </w:style>
  <w:style w:type="character" w:styleId="IntenseEmphasis">
    <w:name w:val="Intense Emphasis"/>
    <w:basedOn w:val="DefaultParagraphFont"/>
    <w:uiPriority w:val="21"/>
    <w:qFormat/>
    <w:rsid w:val="0078377C"/>
    <w:rPr>
      <w:i/>
      <w:iCs/>
      <w:color w:val="0F4761" w:themeColor="accent1" w:themeShade="BF"/>
    </w:rPr>
  </w:style>
  <w:style w:type="paragraph" w:styleId="IntenseQuote">
    <w:name w:val="Intense Quote"/>
    <w:basedOn w:val="Normal"/>
    <w:next w:val="Normal"/>
    <w:link w:val="IntenseQuoteChar"/>
    <w:uiPriority w:val="30"/>
    <w:qFormat/>
    <w:rsid w:val="00783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77C"/>
    <w:rPr>
      <w:i/>
      <w:iCs/>
      <w:color w:val="0F4761" w:themeColor="accent1" w:themeShade="BF"/>
    </w:rPr>
  </w:style>
  <w:style w:type="character" w:styleId="IntenseReference">
    <w:name w:val="Intense Reference"/>
    <w:basedOn w:val="DefaultParagraphFont"/>
    <w:uiPriority w:val="32"/>
    <w:qFormat/>
    <w:rsid w:val="007837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2110</Words>
  <Characters>12030</Characters>
  <Application>Microsoft Office Word</Application>
  <DocSecurity>0</DocSecurity>
  <Lines>100</Lines>
  <Paragraphs>28</Paragraphs>
  <ScaleCrop>false</ScaleCrop>
  <Company/>
  <LinksUpToDate>false</LinksUpToDate>
  <CharactersWithSpaces>14112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2026-02-01T22:50:00Z</dcterms:created>
  <dcterms:modified xsi:type="dcterms:W3CDTF">2026-02-01T22:52:00Z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2db87182-1969-420c-827f-db8ed3d247a7</vt:lpwstr>
  </property>
</Properties>
</file>