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are looking at the components of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Personal Agentic Operating Stack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Cognitive Architecture Stack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you bundle Open Brain (OB1), mem0, LLM Wikis, and reasoning banks together, you aren't just configuring "settings"—you are building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Cognitive Infrastructure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how those specific pieces categorize under that umbrella: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Core Infrastructure (The Backend &amp; Protocol)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Nate B. Jones’s Open Brain (OB1) / Obi-Wan: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Unified Memory Protocol &amp; Persistence Layer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It's the structural database design (separating raw data from embeddings in SQL via MCP) that ensures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AI you plug into it shares the exact same memory of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acts as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Memory Management Layer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Open Brain handles the structural storage sink, tools like mem0 manage the continuous extraction, updating, and pruning of user preferences and facts on the fly.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Context &amp; Knowledge Layers (The Brain's Workspace)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LLM Wiki / Wiki MD Architecture: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Conceptual Knowledge 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It's the human-and-AI-readable markdown structure (using internal linking) that replaces bloated RAG with clean, traversable topical trees.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Reasoning Bank: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Cognitive Execution History / Epistemic Ledger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Unlike raw data, a reasoning bank stores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problems were solved, successful multi-step logic paths, agent trajectories, and decision-making templates so the agent doesn't have to reinvent the wheel next time.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someone asks what you are building, you tell them you are spinning up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Local Agentic Cognitive Architecture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backed by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 Memory Protocol (OB1)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Structured Markdown/JSONL Knowledge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