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sorting phase is always the messiest part of building a local AI architecture. When you are staring down a massive pile of unstructured files, the trick is to stop thinking about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what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file is, and start thinking about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how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agent is going to use it.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Here is your triage matrix. When you pick up a file, run it through these four rules to figure out exactly where it belongs in your new Termux/Snapdragon setup.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Triage Matrix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The Bucket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File Format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Storage Location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The Sorting Rule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1. The Cold Archive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Raw .pdf, heavy manuals, untouched code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Google Drive / Deep Local Storage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Is it heavy and unedited?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If an agent would have to waste context window space searching through it to find a single answer, it stays here. You only retrieve these when you need to re-summarize a missing concept.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2. The Obsidian Vault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Human-readable .md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Master Wiki Vault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Does it explain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1f1f1f"/>
                <w:rtl w:val="0"/>
              </w:rPr>
              <w:t xml:space="preserve">why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?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This is for project goals, architecture decisions, and conceptual summaries. If a human needs to read it to understand a system, or if the agent needs broad context on what you are trying to achieve, it goes here.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3. The Almanac (Glossary)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.jsonl lines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Local Device (Fast Cache)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Is it a raw fact or parameter?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Hardware specs, QAIRT compilation flags, specific shell commands, and API endpoints. If the agent needs to instantly inject a specific fact into the terminal without reading a paragraph, it gets chopped into the JSONL.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4. The Inference Skills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SKILL.md (Agent instructions)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Local ~/.claude/skills/ or repo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Is it 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1f1f1f"/>
                <w:rtl w:val="0"/>
              </w:rPr>
              <w:t xml:space="preserve">verb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?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If the file describes an action the agent needs to execute (e.g., "how to run an Unsloth conversion" or "how to query the JSONL"), it must become a Skill.</w:t>
            </w:r>
          </w:p>
        </w:tc>
      </w:tr>
    </w:tbl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Setting Up the SKILL.md Layer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Since you mentioned turning your model runtimes and inference scripts into a "skill MD," you need to know exactly how agents (like Claude Code or OpenClaw) actually read these files.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There is a standardized open specification for Agent Skills. If you format your files correctly now, your local agents will be able to load and execute them perfectly on your Termux setup.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Every skill must live in its own folder, and the file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must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be named SKILL.md. It requires two parts: YAML metadata at the top, and Markdown instructions below.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Here is exactly how you should format one of your inference skills: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highlight w:val="black"/>
        </w:rPr>
      </w:pPr>
      <w:r w:rsidDel="00000000" w:rsidR="00000000" w:rsidRPr="00000000">
        <w:rPr>
          <w:rFonts w:ascii="Arial" w:cs="Arial" w:eastAsia="Arial" w:hAnsi="Arial"/>
          <w:color w:val="ffffff"/>
          <w:highlight w:val="black"/>
          <w:rtl w:val="0"/>
        </w:rPr>
        <w:t xml:space="preserve">Markdown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highlight w:val="black"/>
        </w:rPr>
      </w:pP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---</w:t>
        <w:br w:type="textWrapping"/>
        <w:t xml:space="preserve">name: run-qairt-inference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highlight w:val="black"/>
          <w:rtl w:val="0"/>
        </w:rPr>
        <w:t xml:space="preserve">description: Executes local model inference using the QAIRT toolchain on the Snapdragon 8 Elite. Use when the user asks to test a model or run local inference.</w:t>
        <w:br w:type="textWrapping"/>
        <w:t xml:space="preserve">---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highlight w:val="black"/>
          <w:rtl w:val="0"/>
        </w:rPr>
        <w:t xml:space="preserve"># QAIRT Inference Protocol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br w:type="textWrapping"/>
        <w:br w:type="textWrapping"/>
        <w:t xml:space="preserve">When the user asks you to run inference, follow these exact steps in the Termux environment: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highlight w:val="black"/>
          <w:rtl w:val="0"/>
        </w:rPr>
        <w:t xml:space="preserve">1.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highlight w:val="black"/>
          <w:rtl w:val="0"/>
        </w:rPr>
        <w:t xml:space="preserve">**Verify Environment:**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Check that the GenieX stack is active.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highlight w:val="black"/>
          <w:rtl w:val="0"/>
        </w:rPr>
        <w:t xml:space="preserve">2.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highlight w:val="black"/>
          <w:rtl w:val="0"/>
        </w:rPr>
        <w:t xml:space="preserve">**Set Parameters:**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Ensure batch size is 1 and precision is INT8.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highlight w:val="black"/>
          <w:rtl w:val="0"/>
        </w:rPr>
        <w:t xml:space="preserve">3.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highlight w:val="black"/>
          <w:rtl w:val="0"/>
        </w:rPr>
        <w:t xml:space="preserve">**Execute:**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Run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highlight w:val="black"/>
          <w:rtl w:val="0"/>
        </w:rPr>
        <w:t xml:space="preserve">`sh /data/data/com.termux/files/usr/bin/run_qairt.sh --model &lt;model_path&gt;`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br w:type="textWrapping"/>
        <w:br w:type="textWrapping"/>
        <w:t xml:space="preserve">Do not attempt to use standard Linux paths. Always use the Termux synthetic root.</w:t>
        <w:br w:type="textWrapping"/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name must match the folder name exactly, and the description is the most critical part — that is the "trigger" the agent reads to decide if it should activate the skill.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