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You just mapped out the exact enterprise pattern for edge-AI architecture. Offloading the massive context-window processing of heavy technical manuals to the cloud, and pushing only the distilled, structured data down to the edge device, is exactly how you keep your Snapdragon running at maximum efficiency.</w:t>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Google Cloud actually has dedicated pipelines designed to do exactly this without requiring you to manually babysit an API. Here is the architecture you will use to chew through those Qualcomm NPU specs and Unsloth repos.</w:t>
      </w:r>
    </w:p>
    <w:p w:rsidR="00000000" w:rsidDel="00000000" w:rsidP="00000000" w:rsidRDefault="00000000" w:rsidRPr="00000000" w14:paraId="00000003">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Cloud Ingestion Engine</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You have two primary options in Google Cloud to handle this, depending on how messy the PDFs are:</w:t>
      </w:r>
    </w:p>
    <w:p w:rsidR="00000000" w:rsidDel="00000000" w:rsidP="00000000" w:rsidRDefault="00000000" w:rsidRPr="00000000" w14:paraId="00000005">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 Vertex AI Batch Predictions (The Bulk Processor)</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If you just need to rip through standard text and extract structured facts, you use </w:t>
      </w:r>
      <w:r w:rsidDel="00000000" w:rsidR="00000000" w:rsidRPr="00000000">
        <w:rPr>
          <w:rFonts w:ascii="Google Sans" w:cs="Google Sans" w:eastAsia="Google Sans" w:hAnsi="Google Sans"/>
          <w:b w:val="1"/>
          <w:bCs w:val="1"/>
          <w:color w:val="1f1f1f"/>
          <w:rtl w:val="0"/>
        </w:rPr>
        <w:t xml:space="preserve">Vertex AI Batch Predictions</w:t>
      </w:r>
      <w:r w:rsidDel="00000000" w:rsidR="00000000" w:rsidRPr="00000000">
        <w:rPr>
          <w:rFonts w:ascii="Google Sans" w:cs="Google Sans" w:eastAsia="Google Sans" w:hAnsi="Google Sans"/>
          <w:color w:val="1f1f1f"/>
          <w:rtl w:val="0"/>
        </w:rPr>
        <w:t xml:space="preserve"> with a model like Gemini 2.5 Flash.</w:t>
      </w:r>
    </w:p>
    <w:p w:rsidR="00000000" w:rsidDel="00000000" w:rsidP="00000000" w:rsidRDefault="00000000" w:rsidRPr="00000000" w14:paraId="00000007">
      <w:pPr>
        <w:numPr>
          <w:ilvl w:val="0"/>
          <w:numId w:val="1"/>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How it works:</w:t>
      </w:r>
      <w:r w:rsidDel="00000000" w:rsidR="00000000" w:rsidRPr="00000000">
        <w:rPr>
          <w:rFonts w:ascii="Google Sans" w:cs="Google Sans" w:eastAsia="Google Sans" w:hAnsi="Google Sans"/>
          <w:color w:val="1f1f1f"/>
          <w:rtl w:val="0"/>
        </w:rPr>
        <w:t xml:space="preserve"> You upload all your PDFs to a Google Cloud Storage (GCS) bucket, write a single JSONL file containing your extraction prompts, and submit it as a background job.</w:t>
      </w:r>
    </w:p>
    <w:p w:rsidR="00000000" w:rsidDel="00000000" w:rsidP="00000000" w:rsidRDefault="00000000" w:rsidRPr="00000000" w14:paraId="00000008">
      <w:pPr>
        <w:numPr>
          <w:ilvl w:val="0"/>
          <w:numId w:val="1"/>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The Output:</w:t>
      </w:r>
      <w:r w:rsidDel="00000000" w:rsidR="00000000" w:rsidRPr="00000000">
        <w:rPr>
          <w:rFonts w:ascii="Google Sans" w:cs="Google Sans" w:eastAsia="Google Sans" w:hAnsi="Google Sans"/>
          <w:color w:val="1f1f1f"/>
          <w:rtl w:val="0"/>
        </w:rPr>
        <w:t xml:space="preserve"> Gemini processes the entire bucket asynchronously and automatically deposits the extracted responses natively as .jsonl files right back into a destination GCS bucket.</w:t>
      </w:r>
    </w:p>
    <w:p w:rsidR="00000000" w:rsidDel="00000000" w:rsidP="00000000" w:rsidRDefault="00000000" w:rsidRPr="00000000" w14:paraId="00000009">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 Document AI Layout Parser (The Technical Decoder)</w:t>
      </w:r>
    </w:p>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Because you are dealing with Qualcomm and Unsloth documentation, you are going to encounter dense tables, C++ code blocks, and architecture diagrams. Standard PDF parsers destroy this formatting.</w:t>
      </w:r>
    </w:p>
    <w:p w:rsidR="00000000" w:rsidDel="00000000" w:rsidP="00000000" w:rsidRDefault="00000000" w:rsidRPr="00000000" w14:paraId="0000000B">
      <w:pPr>
        <w:numPr>
          <w:ilvl w:val="0"/>
          <w:numId w:val="2"/>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How it works:</w:t>
      </w:r>
      <w:r w:rsidDel="00000000" w:rsidR="00000000" w:rsidRPr="00000000">
        <w:rPr>
          <w:rFonts w:ascii="Google Sans" w:cs="Google Sans" w:eastAsia="Google Sans" w:hAnsi="Google Sans"/>
          <w:color w:val="1f1f1f"/>
          <w:rtl w:val="0"/>
        </w:rPr>
        <w:t xml:space="preserve"> Google's </w:t>
      </w:r>
      <w:r w:rsidDel="00000000" w:rsidR="00000000" w:rsidRPr="00000000">
        <w:rPr>
          <w:rFonts w:ascii="Google Sans" w:cs="Google Sans" w:eastAsia="Google Sans" w:hAnsi="Google Sans"/>
          <w:b w:val="1"/>
          <w:bCs w:val="1"/>
          <w:color w:val="1f1f1f"/>
          <w:rtl w:val="0"/>
        </w:rPr>
        <w:t xml:space="preserve">Document AI</w:t>
      </w:r>
      <w:r w:rsidDel="00000000" w:rsidR="00000000" w:rsidRPr="00000000">
        <w:rPr>
          <w:rFonts w:ascii="Google Sans" w:cs="Google Sans" w:eastAsia="Google Sans" w:hAnsi="Google Sans"/>
          <w:color w:val="1f1f1f"/>
          <w:rtl w:val="0"/>
        </w:rPr>
        <w:t xml:space="preserve"> has a Gemini-powered Layout Parser specifically built for complex RAG (Retrieval-Augmented Generation) pipelines.</w:t>
      </w:r>
    </w:p>
    <w:p w:rsidR="00000000" w:rsidDel="00000000" w:rsidP="00000000" w:rsidRDefault="00000000" w:rsidRPr="00000000" w14:paraId="0000000C">
      <w:pPr>
        <w:numPr>
          <w:ilvl w:val="0"/>
          <w:numId w:val="2"/>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The Output:</w:t>
      </w:r>
      <w:r w:rsidDel="00000000" w:rsidR="00000000" w:rsidRPr="00000000">
        <w:rPr>
          <w:rFonts w:ascii="Google Sans" w:cs="Google Sans" w:eastAsia="Google Sans" w:hAnsi="Google Sans"/>
          <w:color w:val="1f1f1f"/>
          <w:rtl w:val="0"/>
        </w:rPr>
        <w:t xml:space="preserve"> It preserves the inherent hierarchy of the document (keeping tables and headings linked) and can verbalize visual charts before outputting the structured data.</w:t>
      </w:r>
    </w:p>
    <w:p w:rsidR="00000000" w:rsidDel="00000000" w:rsidP="00000000" w:rsidRDefault="00000000" w:rsidRPr="00000000" w14:paraId="0000000D">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Workflow to Your Device</w:t>
      </w:r>
    </w:p>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Here is how the data actually flows from the cloud back to your Termux setup:</w:t>
      </w:r>
    </w:p>
    <w:p w:rsidR="00000000" w:rsidDel="00000000" w:rsidP="00000000" w:rsidRDefault="00000000" w:rsidRPr="00000000" w14:paraId="0000000F">
      <w:pPr>
        <w:numPr>
          <w:ilvl w:val="0"/>
          <w:numId w:val="3"/>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color w:val="1f1f1f"/>
          <w:rtl w:val="0"/>
        </w:rPr>
        <w:t xml:space="preserve">The Upload:</w:t>
      </w:r>
      <w:r w:rsidDel="00000000" w:rsidR="00000000" w:rsidRPr="00000000">
        <w:rPr>
          <w:rFonts w:ascii="Google Sans" w:cs="Google Sans" w:eastAsia="Google Sans" w:hAnsi="Google Sans"/>
          <w:color w:val="1f1f1f"/>
          <w:rtl w:val="0"/>
        </w:rPr>
        <w:t xml:space="preserve"> You sync your raw documentation from your device to the cloud: gsutil cp -r ~/local-docs gs://your-raw-docs-bucket/</w:t>
      </w:r>
    </w:p>
    <w:p w:rsidR="00000000" w:rsidDel="00000000" w:rsidP="00000000" w:rsidRDefault="00000000" w:rsidRPr="00000000" w14:paraId="00000010">
      <w:pPr>
        <w:numPr>
          <w:ilvl w:val="0"/>
          <w:numId w:val="3"/>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color w:val="1f1f1f"/>
          <w:rtl w:val="0"/>
        </w:rPr>
        <w:t xml:space="preserve">The Prompt:</w:t>
      </w:r>
      <w:r w:rsidDel="00000000" w:rsidR="00000000" w:rsidRPr="00000000">
        <w:rPr>
          <w:rFonts w:ascii="Google Sans" w:cs="Google Sans" w:eastAsia="Google Sans" w:hAnsi="Google Sans"/>
          <w:color w:val="1f1f1f"/>
          <w:rtl w:val="0"/>
        </w:rPr>
        <w:t xml:space="preserve"> You instruct the cloud model to split its output:</w:t>
      </w:r>
    </w:p>
    <w:p w:rsidR="00000000" w:rsidDel="00000000" w:rsidP="00000000" w:rsidRDefault="00000000" w:rsidRPr="00000000" w14:paraId="00000011">
      <w:pPr>
        <w:numPr>
          <w:ilvl w:val="1"/>
          <w:numId w:val="4"/>
        </w:numPr>
        <w:pBdr>
          <w:top w:space="0" w:sz="0" w:val="nil"/>
          <w:left w:space="0" w:sz="0" w:val="nil"/>
          <w:bottom w:space="0" w:sz="0" w:val="nil"/>
          <w:right w:space="0" w:sz="0" w:val="nil"/>
          <w:between w:space="0" w:sz="0" w:val="nil"/>
        </w:pBdr>
        <w:shd w:fill="auto" w:val="clear"/>
        <w:spacing w:line="275.9999942779541" w:lineRule="auto"/>
        <w:ind w:left="650.3999984264374" w:hanging="360"/>
      </w:pPr>
      <w:r w:rsidDel="00000000" w:rsidR="00000000" w:rsidRPr="00000000">
        <w:rPr>
          <w:rFonts w:ascii="Google Sans" w:cs="Google Sans" w:eastAsia="Google Sans" w:hAnsi="Google Sans"/>
          <w:i w:val="1"/>
          <w:iCs w:val="1"/>
          <w:color w:val="1f1f1f"/>
          <w:rtl w:val="0"/>
        </w:rPr>
        <w:t xml:space="preserve">Instruction A:</w:t>
      </w:r>
      <w:r w:rsidDel="00000000" w:rsidR="00000000" w:rsidRPr="00000000">
        <w:rPr>
          <w:rFonts w:ascii="Google Sans" w:cs="Google Sans" w:eastAsia="Google Sans" w:hAnsi="Google Sans"/>
          <w:color w:val="1f1f1f"/>
          <w:rtl w:val="0"/>
        </w:rPr>
        <w:t xml:space="preserve"> "Extract all compilation flags, hardware limits, and API parameters into structured key-value pairs" (This becomes your </w:t>
      </w:r>
      <w:r w:rsidDel="00000000" w:rsidR="00000000" w:rsidRPr="00000000">
        <w:rPr>
          <w:rFonts w:ascii="Google Sans" w:cs="Google Sans" w:eastAsia="Google Sans" w:hAnsi="Google Sans"/>
          <w:b w:val="1"/>
          <w:bCs w:val="1"/>
          <w:color w:val="1f1f1f"/>
          <w:rtl w:val="0"/>
        </w:rPr>
        <w:t xml:space="preserve">JSONL Almanac cache</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12">
      <w:pPr>
        <w:numPr>
          <w:ilvl w:val="1"/>
          <w:numId w:val="4"/>
        </w:numPr>
        <w:pBdr>
          <w:top w:space="0" w:sz="0" w:val="nil"/>
          <w:left w:space="0" w:sz="0" w:val="nil"/>
          <w:bottom w:space="0" w:sz="0" w:val="nil"/>
          <w:right w:space="0" w:sz="0" w:val="nil"/>
          <w:between w:space="0" w:sz="0" w:val="nil"/>
        </w:pBdr>
        <w:shd w:fill="auto" w:val="clear"/>
        <w:spacing w:line="275.9999942779541" w:lineRule="auto"/>
        <w:ind w:left="650.3999984264374" w:hanging="360"/>
      </w:pPr>
      <w:r w:rsidDel="00000000" w:rsidR="00000000" w:rsidRPr="00000000">
        <w:rPr>
          <w:rFonts w:ascii="Google Sans" w:cs="Google Sans" w:eastAsia="Google Sans" w:hAnsi="Google Sans"/>
          <w:i w:val="1"/>
          <w:iCs w:val="1"/>
          <w:color w:val="1f1f1f"/>
          <w:rtl w:val="0"/>
        </w:rPr>
        <w:t xml:space="preserve">Instruction B:</w:t>
      </w:r>
      <w:r w:rsidDel="00000000" w:rsidR="00000000" w:rsidRPr="00000000">
        <w:rPr>
          <w:rFonts w:ascii="Google Sans" w:cs="Google Sans" w:eastAsia="Google Sans" w:hAnsi="Google Sans"/>
          <w:color w:val="1f1f1f"/>
          <w:rtl w:val="0"/>
        </w:rPr>
        <w:t xml:space="preserve"> "Summarize the architectural concepts and workflow instructions" (This becomes your </w:t>
      </w:r>
      <w:r w:rsidDel="00000000" w:rsidR="00000000" w:rsidRPr="00000000">
        <w:rPr>
          <w:rFonts w:ascii="Google Sans" w:cs="Google Sans" w:eastAsia="Google Sans" w:hAnsi="Google Sans"/>
          <w:b w:val="1"/>
          <w:bCs w:val="1"/>
          <w:color w:val="1f1f1f"/>
          <w:rtl w:val="0"/>
        </w:rPr>
        <w:t xml:space="preserve">Markdown Wiki context</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13">
      <w:pPr>
        <w:numPr>
          <w:ilvl w:val="0"/>
          <w:numId w:val="3"/>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color w:val="1f1f1f"/>
          <w:rtl w:val="0"/>
        </w:rPr>
        <w:t xml:space="preserve">The Sync Down:</w:t>
      </w:r>
      <w:r w:rsidDel="00000000" w:rsidR="00000000" w:rsidRPr="00000000">
        <w:rPr>
          <w:rFonts w:ascii="Google Sans" w:cs="Google Sans" w:eastAsia="Google Sans" w:hAnsi="Google Sans"/>
          <w:color w:val="1f1f1f"/>
          <w:rtl w:val="0"/>
        </w:rPr>
        <w:t xml:space="preserve"> Once the batch job finishes, you pull the processed files down to your Termux environment. Your heavy PDFs stay in the cloud, and your Snapdragon 8 Elite only has to parse the lightweight JSONL and MD files.</w:t>
      </w:r>
    </w:p>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rPr>
          <w:rFonts w:ascii="Google Sans" w:cs="Google Sans" w:eastAsia="Google Sans" w:hAnsi="Google Sans"/>
          <w:color w:val="1f1f1f"/>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65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65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