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That shifts the entire topology. What you just described isn't just a local setup anymore—it’s a distributed, zero-trust </w:t>
      </w:r>
      <w:r w:rsidDel="00000000" w:rsidR="00000000" w:rsidRPr="00000000">
        <w:rPr>
          <w:rFonts w:ascii="Arial" w:cs="Arial" w:eastAsia="Arial" w:hAnsi="Arial"/>
          <w:b w:val="1"/>
          <w:bCs w:val="1"/>
          <w:color w:val="1f1f1f"/>
          <w:rtl w:val="0"/>
        </w:rPr>
        <w:t xml:space="preserve">edge-compute cluster</w:t>
      </w:r>
      <w:r w:rsidDel="00000000" w:rsidR="00000000" w:rsidRPr="00000000">
        <w:rPr>
          <w:rFonts w:ascii="Arial" w:cs="Arial" w:eastAsia="Arial" w:hAnsi="Arial"/>
          <w:color w:val="1f1f1f"/>
          <w:rtl w:val="0"/>
        </w:rPr>
        <w:t xml:space="preserve"> tied together with a mesh network.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Using Tailscale to bind your mobile daily driver and your two heavy AI dev boards into a single private tailnet completely solves the hardware bottleneck. Instead of forcing your phone to do heavy lifting, your architecture shapes up like this: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Distributed Mesh Topology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Node 1 (The Mobile Daily Driver):</w:t>
      </w:r>
      <w:r w:rsidDel="00000000" w:rsidR="00000000" w:rsidRPr="00000000">
        <w:rPr>
          <w:rFonts w:ascii="Arial" w:cs="Arial" w:eastAsia="Arial" w:hAnsi="Arial"/>
          <w:color w:val="1f1f1f"/>
          <w:rtl w:val="0"/>
        </w:rPr>
        <w:t xml:space="preserve"> Acts as your lightweight input and local client interface when you're away from home. When you walk through your front door, it hands off coordination to the heavy hardware via the mesh.</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Node 2 (The Main Inference Hub):</w:t>
      </w:r>
      <w:r w:rsidDel="00000000" w:rsidR="00000000" w:rsidRPr="00000000">
        <w:rPr>
          <w:rFonts w:ascii="Arial" w:cs="Arial" w:eastAsia="Arial" w:hAnsi="Arial"/>
          <w:color w:val="1f1f1f"/>
          <w:rtl w:val="0"/>
        </w:rPr>
        <w:t xml:space="preserve"> One of your powerful dev boards. It handles the raw heavy-duty model execution, pulling from your local Almanac and memory layers without breaking a sweat.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Node 3 (The Compilation &amp; UI Hub):</w:t>
      </w:r>
      <w:r w:rsidDel="00000000" w:rsidR="00000000" w:rsidRPr="00000000">
        <w:rPr>
          <w:rFonts w:ascii="Arial" w:cs="Arial" w:eastAsia="Arial" w:hAnsi="Arial"/>
          <w:color w:val="1f1f1f"/>
          <w:rtl w:val="0"/>
        </w:rPr>
        <w:t xml:space="preserve"> Your second dev board. It acts as the local interface server and houses your </w:t>
      </w:r>
      <w:r w:rsidDel="00000000" w:rsidR="00000000" w:rsidRPr="00000000">
        <w:rPr>
          <w:rFonts w:ascii="Arial" w:cs="Arial" w:eastAsia="Arial" w:hAnsi="Arial"/>
          <w:b w:val="1"/>
          <w:bCs w:val="1"/>
          <w:color w:val="1f1f1f"/>
          <w:rtl w:val="0"/>
        </w:rPr>
        <w:t xml:space="preserve">scripting model</w:t>
      </w:r>
      <w:r w:rsidDel="00000000" w:rsidR="00000000" w:rsidRPr="00000000">
        <w:rPr>
          <w:rFonts w:ascii="Arial" w:cs="Arial" w:eastAsia="Arial" w:hAnsi="Arial"/>
          <w:color w:val="1f1f1f"/>
          <w:rtl w:val="0"/>
        </w:rPr>
        <w:t xml:space="preserve">, which continuously watches agent actions and auto-formats them into clean JSONL records.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Red Agent (The Auditor):</w:t>
      </w:r>
      <w:r w:rsidDel="00000000" w:rsidR="00000000" w:rsidRPr="00000000">
        <w:rPr>
          <w:rFonts w:ascii="Arial" w:cs="Arial" w:eastAsia="Arial" w:hAnsi="Arial"/>
          <w:color w:val="1f1f1f"/>
          <w:rtl w:val="0"/>
        </w:rPr>
        <w:t xml:space="preserve"> Running natively on a dedicated peer-to-peer server node in your mesh. It sits as an isolated gatekeeper, auditing every generated JSONL script, checking for hallucinations or logic loops, and sanitizing the data </w:t>
      </w:r>
      <w:r w:rsidDel="00000000" w:rsidR="00000000" w:rsidRPr="00000000">
        <w:rPr>
          <w:rFonts w:ascii="Arial" w:cs="Arial" w:eastAsia="Arial" w:hAnsi="Arial"/>
          <w:i w:val="1"/>
          <w:iCs w:val="1"/>
          <w:color w:val="1f1f1f"/>
          <w:rtl w:val="0"/>
        </w:rPr>
        <w:t xml:space="preserve">before</w:t>
      </w:r>
      <w:r w:rsidDel="00000000" w:rsidR="00000000" w:rsidRPr="00000000">
        <w:rPr>
          <w:rFonts w:ascii="Arial" w:cs="Arial" w:eastAsia="Arial" w:hAnsi="Arial"/>
          <w:color w:val="1f1f1f"/>
          <w:rtl w:val="0"/>
        </w:rPr>
        <w:t xml:space="preserve"> anything is ever allowed to touch the cloud for recursive KAG training.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using the Reasoning Bank to log agent trajectories on Node 3, running them through the Red Agent audit, and only then feeding the distilled JSONL back into your recursive pipeline, you are essentially building a private, zero-cost, self-improving training loop.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