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OmniRoute</w:t>
      </w:r>
      <w:r w:rsidDel="00000000" w:rsidR="00000000" w:rsidRPr="00000000">
        <w:rPr>
          <w:rFonts w:ascii="Arial" w:cs="Arial" w:eastAsia="Arial" w:hAnsi="Arial"/>
          <w:color w:val="1f1f1f"/>
          <w:rtl w:val="0"/>
        </w:rPr>
        <w:t xml:space="preserve"> is the exact piece that unifies your entire distributed topology.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Instead of hardcoding separate API keys, port addresses, and rate-limit logic across your Moto Razr Ultra, Jetson Orin Nano, and Rubik Pi, OmniRoute acts as a </w:t>
      </w:r>
      <w:r w:rsidDel="00000000" w:rsidR="00000000" w:rsidRPr="00000000">
        <w:rPr>
          <w:rFonts w:ascii="Arial" w:cs="Arial" w:eastAsia="Arial" w:hAnsi="Arial"/>
          <w:b w:val="1"/>
          <w:bCs w:val="1"/>
          <w:color w:val="1f1f1f"/>
          <w:rtl w:val="0"/>
        </w:rPr>
        <w:t xml:space="preserve">single, local AI gateway</w:t>
      </w:r>
      <w:r w:rsidDel="00000000" w:rsidR="00000000" w:rsidRPr="00000000">
        <w:rPr>
          <w:rFonts w:ascii="Arial" w:cs="Arial" w:eastAsia="Arial" w:hAnsi="Arial"/>
          <w:color w:val="1f1f1f"/>
          <w:rtl w:val="0"/>
        </w:rPr>
        <w:t xml:space="preserve">. By running a unified OpenAI-compatible endpoint (typically served at http://localhost:20128/v1), it abstracts your physical hardware and cloud providers into a flexible, fault-tolerant proxy network.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 OmniRoute Fits Into Your Architecture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Unified Entry Point Across the Tailnet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Every CLI tool, script loop, and agent on your mesh sends requests to one standard base URL (http://localhost:20128/v1).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You don't need to reconfigure environment variables when switching models or migrating tasks across nodes.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Intelligent "Combo" Strategies &amp; Failover</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OmniRoute uses configurable routing chains ("combos").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Local-First Fallback:</w:t>
      </w:r>
      <w:r w:rsidDel="00000000" w:rsidR="00000000" w:rsidRPr="00000000">
        <w:rPr>
          <w:rFonts w:ascii="Arial" w:cs="Arial" w:eastAsia="Arial" w:hAnsi="Arial"/>
          <w:color w:val="1f1f1f"/>
          <w:rtl w:val="0"/>
        </w:rPr>
        <w:t xml:space="preserve"> You can set rules that route requests to your local Snapdragon 8 Elite NPU via GenieX first. If the prompt exceeds local context limits or hits thermal throttling, OmniRoute silently cascades to your Jetson CUDA endpoint, Vertex AI, or cloud backups in under a second—without breaking agent loop execution.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Built-In Token Compression (RTK &amp; Caveman Engines)</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OmniRoute includes native token compression engines (like RTK) that strip redundant payload overhead before hitting upstream models, reducing context usage by </w:t>
      </w:r>
      <w:r w:rsidDel="00000000" w:rsidR="00000000" w:rsidRPr="00000000">
        <w:rPr>
          <w:rFonts w:ascii="Arial" w:cs="Arial" w:eastAsia="Arial" w:hAnsi="Arial"/>
          <w:b w:val="1"/>
          <w:bCs w:val="1"/>
          <w:color w:val="1f1f1f"/>
          <w:rtl w:val="0"/>
        </w:rPr>
        <w:t xml:space="preserve">15–95%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This keeps your structured JSONL Almanac logs and action trajectories extremely lean before they land in your Red Agent audit queue.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Native MCP Server &amp; Agent-to-Agent (A2A) Protocols</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OmniRoute acts as a Model Context Protocol (MCP) server. Your agents can directly query the gateway via MCP tools to check provider health, modify active routing combos on the fly, or inspect quota remaining across endpoints.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Complete Mesh Architecture Map</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Layer / 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Node / Hardware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Function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Mobile Agent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Moto Razr Ultra (Snapdragon 8 Elite)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Termux shell environment, local client coordination, GenieX / QAIRT NPU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Heavy Inference 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Jetson Orin Nano Super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CUDA-accelerated local inference, vector embeddings, high-throughput model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UI &amp; Script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Rubik Pi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web UI, background task processing, JSONL action log generation.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Unified AI Gateway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OmniRoute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Single endpoint (:20128/v1), token compression, automated combo failover.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Adversarial Gatekeeper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Red Agent (P2P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schema validation, logic evaluation, append-only quarantine/approval queues.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Multi-Layer Memory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NVMe &amp; Cloud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Cold PDFs, Markdown Master Wiki, JSONL Almanac, Skill MDs, Reasoning Bank.</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Core Advantage:</w:t>
      </w:r>
      <w:r w:rsidDel="00000000" w:rsidR="00000000" w:rsidRPr="00000000">
        <w:rPr>
          <w:rFonts w:ascii="Arial" w:cs="Arial" w:eastAsia="Arial" w:hAnsi="Arial"/>
          <w:color w:val="1f1f1f"/>
          <w:rtl w:val="0"/>
        </w:rPr>
        <w:t xml:space="preserve"> With OmniRoute handling traffic routing, your agent network operates with complete resilience. If a local node is offline or overloaded, OmniRoute reroutes the payload automatically, ensuring zero execution downtime.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Would you like to draft the combos.yaml configuration rules for OmniRoute's local-to-cloud failover, or focus on setting up the initial cloud batch pipeline first?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