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That is an absolute beast of a hardware stack. Laying it out like that clarifies why your topology works the way it does. You have three entirely different silicon architectures playing to their absolute strengths: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Hardware Allocation Map</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Mobile Heavy Hitter (Your Phone - Snapdragon 8 Elite / RedMagic Ultra):</w:t>
      </w:r>
    </w:p>
    <w:p w:rsidR="00000000" w:rsidDel="00000000" w:rsidP="00000000" w:rsidRDefault="00000000" w:rsidRPr="00000000" w14:paraId="00000004">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The Specs:</w:t>
      </w:r>
      <w:r w:rsidDel="00000000" w:rsidR="00000000" w:rsidRPr="00000000">
        <w:rPr>
          <w:rFonts w:ascii="Google Sans" w:cs="Google Sans" w:eastAsia="Google Sans" w:hAnsi="Google Sans"/>
          <w:color w:val="1f1f1f"/>
          <w:rtl w:val="0"/>
        </w:rPr>
        <w:t xml:space="preserve"> Max RAM (up to 16GB/24GB LPDDR5X Ultra), massive high-speed storage, active cooling turbofan, and massive raw mobile tensor throughput.</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The Role: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Local Model Container.</w:t>
      </w:r>
      <w:r w:rsidDel="00000000" w:rsidR="00000000" w:rsidRPr="00000000">
        <w:rPr>
          <w:rFonts w:ascii="Google Sans" w:cs="Google Sans" w:eastAsia="Google Sans" w:hAnsi="Google Sans"/>
          <w:color w:val="1f1f1f"/>
          <w:rtl w:val="0"/>
        </w:rPr>
        <w:t xml:space="preserve"> Because it has the most unified RAM headroom on the go, this is where you house your primary heavy local model weights (like your main Hermes or Open Wiki LLM variants) when you are mobile or untethered.</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Inference &amp; Compute Hub (Jetson Orin Nano Super - 8GB / ~67 TOPS / 500GB+ NVMe SSD):</w:t>
      </w:r>
    </w:p>
    <w:p w:rsidR="00000000" w:rsidDel="00000000" w:rsidP="00000000" w:rsidRDefault="00000000" w:rsidRPr="00000000" w14:paraId="00000007">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The Specs:</w:t>
      </w:r>
      <w:r w:rsidDel="00000000" w:rsidR="00000000" w:rsidRPr="00000000">
        <w:rPr>
          <w:rFonts w:ascii="Google Sans" w:cs="Google Sans" w:eastAsia="Google Sans" w:hAnsi="Google Sans"/>
          <w:color w:val="1f1f1f"/>
          <w:rtl w:val="0"/>
        </w:rPr>
        <w:t xml:space="preserve"> NVIDIA Ampere architecture with Tensor cores, dedicated CUDA acceleration, and heavy NVMe scratch space.</w:t>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The Role: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Heavy Inference &amp; Embedding Engine.</w:t>
      </w:r>
      <w:r w:rsidDel="00000000" w:rsidR="00000000" w:rsidRPr="00000000">
        <w:rPr>
          <w:rFonts w:ascii="Google Sans" w:cs="Google Sans" w:eastAsia="Google Sans" w:hAnsi="Google Sans"/>
          <w:color w:val="1f1f1f"/>
          <w:rtl w:val="0"/>
        </w:rPr>
        <w:t xml:space="preserve"> Perfect for handling local vector math, running tensor RT optimizations, and acting as the primary local server when you tailscale in from home.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UI &amp; Scripting Hub (Dragonwing Rubik Pi 3 - Qualcomm QCS6490 / 12 TOPS NPU / 8GB RAM):</w:t>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The Specs:</w:t>
      </w:r>
      <w:r w:rsidDel="00000000" w:rsidR="00000000" w:rsidRPr="00000000">
        <w:rPr>
          <w:rFonts w:ascii="Google Sans" w:cs="Google Sans" w:eastAsia="Google Sans" w:hAnsi="Google Sans"/>
          <w:color w:val="1f1f1f"/>
          <w:rtl w:val="0"/>
        </w:rPr>
        <w:t xml:space="preserve"> 6nm Qualcomm edge chip, Hexagon 770 NPU, low power footprint, structured for embedded display output and IO.</w:t>
      </w:r>
    </w:p>
    <w:p w:rsidR="00000000" w:rsidDel="00000000" w:rsidP="00000000" w:rsidRDefault="00000000" w:rsidRPr="00000000" w14:paraId="0000000B">
      <w:pPr>
        <w:numPr>
          <w:ilvl w:val="1"/>
          <w:numId w:val="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The Role: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The Dashboard &amp; Script Compiler.</w:t>
      </w:r>
      <w:r w:rsidDel="00000000" w:rsidR="00000000" w:rsidRPr="00000000">
        <w:rPr>
          <w:rFonts w:ascii="Google Sans" w:cs="Google Sans" w:eastAsia="Google Sans" w:hAnsi="Google Sans"/>
          <w:color w:val="1f1f1f"/>
          <w:rtl w:val="0"/>
        </w:rPr>
        <w:t xml:space="preserve"> Drives your local user interface display and runs your background scripting model that digests agent logs and formats them into clean JSONL records.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Mapping Runtimes to the Stack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you are mixing NVIDIA CUDA architecture on the Jetson with Qualcomm Hexagon/Adreno architecture on the Rubik Pi and your Snapdragon phone, your runtime choices have to match the silicon:</w:t>
      </w:r>
    </w:p>
    <w:p w:rsidR="00000000" w:rsidDel="00000000" w:rsidP="00000000" w:rsidRDefault="00000000" w:rsidRPr="00000000" w14:paraId="0000000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For the Jetson Orin Nano Super (NVIDIA):</w:t>
      </w:r>
      <w:r w:rsidDel="00000000" w:rsidR="00000000" w:rsidRPr="00000000">
        <w:rPr>
          <w:rFonts w:ascii="Google Sans" w:cs="Google Sans" w:eastAsia="Google Sans" w:hAnsi="Google Sans"/>
          <w:color w:val="1f1f1f"/>
          <w:rtl w:val="0"/>
        </w:rPr>
        <w:t xml:space="preserve"> Stick to </w:t>
      </w:r>
      <w:r w:rsidDel="00000000" w:rsidR="00000000" w:rsidRPr="00000000">
        <w:rPr>
          <w:rFonts w:ascii="Google Sans" w:cs="Google Sans" w:eastAsia="Google Sans" w:hAnsi="Google Sans"/>
          <w:b w:val="1"/>
          <w:bCs w:val="1"/>
          <w:color w:val="1f1f1f"/>
          <w:rtl w:val="0"/>
        </w:rPr>
        <w:t xml:space="preserve">TensorRT</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Ollama/llama.cpp compiled with CUDA support</w:t>
      </w:r>
      <w:r w:rsidDel="00000000" w:rsidR="00000000" w:rsidRPr="00000000">
        <w:rPr>
          <w:rFonts w:ascii="Google Sans" w:cs="Google Sans" w:eastAsia="Google Sans" w:hAnsi="Google Sans"/>
          <w:color w:val="1f1f1f"/>
          <w:rtl w:val="0"/>
        </w:rPr>
        <w:t xml:space="preserve">. It will chew through local model quantization (like GGUF formats) using native CUDA cores without breaking a sweat.</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For the Rubik Pi 3 &amp; Snapdragon Phone (Qualcomm):</w:t>
      </w:r>
      <w:r w:rsidDel="00000000" w:rsidR="00000000" w:rsidRPr="00000000">
        <w:rPr>
          <w:rFonts w:ascii="Google Sans" w:cs="Google Sans" w:eastAsia="Google Sans" w:hAnsi="Google Sans"/>
          <w:color w:val="1f1f1f"/>
          <w:rtl w:val="0"/>
        </w:rPr>
        <w:t xml:space="preserve"> This is where your </w:t>
      </w:r>
      <w:r w:rsidDel="00000000" w:rsidR="00000000" w:rsidRPr="00000000">
        <w:rPr>
          <w:rFonts w:ascii="Google Sans" w:cs="Google Sans" w:eastAsia="Google Sans" w:hAnsi="Google Sans"/>
          <w:b w:val="1"/>
          <w:bCs w:val="1"/>
          <w:color w:val="1f1f1f"/>
          <w:rtl w:val="0"/>
        </w:rPr>
        <w:t xml:space="preserve">Qualcomm QAIRT (Qualcomm AI Runtime) and GenieX</w:t>
      </w:r>
      <w:r w:rsidDel="00000000" w:rsidR="00000000" w:rsidRPr="00000000">
        <w:rPr>
          <w:rFonts w:ascii="Google Sans" w:cs="Google Sans" w:eastAsia="Google Sans" w:hAnsi="Google Sans"/>
          <w:color w:val="1f1f1f"/>
          <w:rtl w:val="0"/>
        </w:rPr>
        <w:t xml:space="preserve"> toolchain shines. Compiling models into .dlc containers or using QNN (Qualcomm Neural Network) execution providers lets you dump inference straight onto the Hexagon NPU instead of wasting CPU cycles.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you get those PDFs processed via your Google Cloud batch pipeline and structured into your JSONL/Markdown layers, distributing them across this tailnet gives you a fully autonomous, zero-cost private cloud.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