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that your physical infrastructure—the Moto Razr Ultra, the Jetson Orin Nano Super, and the Rubik Pi 3—is locked in, matching the right runtimes and CLIs to each node is what makes this mesh actually functional.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you're splitting workloads across Android (Termux), NVIDIA CUDA, and Qualcomm NPU hardware, your runtime stack divides cleanly across the network: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Mobile Node (Moto Razr Ultra — Snapdragon 8 Elite)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CLI / Tooling: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GenieX CLI / Python SDK</w:t>
      </w:r>
      <w:r w:rsidDel="00000000" w:rsidR="00000000" w:rsidRPr="00000000">
        <w:rPr>
          <w:rFonts w:ascii="Google Sans" w:cs="Google Sans" w:eastAsia="Google Sans" w:hAnsi="Google Sans"/>
          <w:color w:val="1f1f1f"/>
          <w:rtl w:val="0"/>
        </w:rPr>
        <w:t xml:space="preserve"> (Qualcomm's unified on-device inference runtime).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Runtime:</w:t>
      </w:r>
      <w:r w:rsidDel="00000000" w:rsidR="00000000" w:rsidRPr="00000000">
        <w:rPr>
          <w:rFonts w:ascii="Google Sans" w:cs="Google Sans" w:eastAsia="Google Sans" w:hAnsi="Google Sans"/>
          <w:color w:val="1f1f1f"/>
          <w:rtl w:val="0"/>
        </w:rPr>
        <w:t xml:space="preserve"> Dual-path depending on your needs. Use </w:t>
      </w:r>
      <w:r w:rsidDel="00000000" w:rsidR="00000000" w:rsidRPr="00000000">
        <w:rPr>
          <w:rFonts w:ascii="Google Sans" w:cs="Google Sans" w:eastAsia="Google Sans" w:hAnsi="Google Sans"/>
          <w:i w:val="0"/>
          <w:iCs w:val="0"/>
          <w:color w:val="000000"/>
          <w:sz w:val="22"/>
          <w:szCs w:val="22"/>
          <w:rtl w:val="0"/>
        </w:rPr>
        <w:t xml:space="preserve">llama_cpp</w:t>
      </w:r>
      <w:r w:rsidDel="00000000" w:rsidR="00000000" w:rsidRPr="00000000">
        <w:rPr>
          <w:rFonts w:ascii="Google Sans" w:cs="Google Sans" w:eastAsia="Google Sans" w:hAnsi="Google Sans"/>
          <w:color w:val="1f1f1f"/>
          <w:rtl w:val="0"/>
        </w:rPr>
        <w:t xml:space="preserve"> for pulling standard GGUF models from Hugging Face straight into mobile memory, or the </w:t>
      </w:r>
      <w:r w:rsidDel="00000000" w:rsidR="00000000" w:rsidRPr="00000000">
        <w:rPr>
          <w:rFonts w:ascii="Google Sans" w:cs="Google Sans" w:eastAsia="Google Sans" w:hAnsi="Google Sans"/>
          <w:i w:val="0"/>
          <w:iCs w:val="0"/>
          <w:color w:val="000000"/>
          <w:sz w:val="22"/>
          <w:szCs w:val="22"/>
          <w:rtl w:val="0"/>
        </w:rPr>
        <w:t xml:space="preserve">qairt</w:t>
      </w:r>
      <w:r w:rsidDel="00000000" w:rsidR="00000000" w:rsidRPr="00000000">
        <w:rPr>
          <w:rFonts w:ascii="Google Sans" w:cs="Google Sans" w:eastAsia="Google Sans" w:hAnsi="Google Sans"/>
          <w:color w:val="1f1f1f"/>
          <w:rtl w:val="0"/>
        </w:rPr>
        <w:t xml:space="preserve"> (Qualcomm AI Engine Direct) runtime to pin pre-compiled bundles directly onto the Hexagon NPU for maximum thermal and power efficiency.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Job:</w:t>
      </w:r>
      <w:r w:rsidDel="00000000" w:rsidR="00000000" w:rsidRPr="00000000">
        <w:rPr>
          <w:rFonts w:ascii="Google Sans" w:cs="Google Sans" w:eastAsia="Google Sans" w:hAnsi="Google Sans"/>
          <w:color w:val="1f1f1f"/>
          <w:rtl w:val="0"/>
        </w:rPr>
        <w:t xml:space="preserve"> Running your local client-side model context, managing terminal sessions via Termux, and handling local ingestion before syncing up with the home tailnet.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Heavy Inference Hub (Jetson Orin Nano Super)</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CLI / Tooling: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Ollama / llama.cpp (CUDA compiled)</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TensorRT-LLM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Runtime:</w:t>
      </w:r>
      <w:r w:rsidDel="00000000" w:rsidR="00000000" w:rsidRPr="00000000">
        <w:rPr>
          <w:rFonts w:ascii="Google Sans" w:cs="Google Sans" w:eastAsia="Google Sans" w:hAnsi="Google Sans"/>
          <w:color w:val="1f1f1f"/>
          <w:rtl w:val="0"/>
        </w:rPr>
        <w:t xml:space="preserve"> NVIDIA CUDA / TensorRT cores.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Job:</w:t>
      </w:r>
      <w:r w:rsidDel="00000000" w:rsidR="00000000" w:rsidRPr="00000000">
        <w:rPr>
          <w:rFonts w:ascii="Google Sans" w:cs="Google Sans" w:eastAsia="Google Sans" w:hAnsi="Google Sans"/>
          <w:color w:val="1f1f1f"/>
          <w:rtl w:val="0"/>
        </w:rPr>
        <w:t xml:space="preserve"> Acting as the heavy muscle of your tailnet. When your mesh needs serious parameter throughput or fast local vector embedding searches, Tailscale routes the request straight to this node's NVMe drive and Ampere architecture.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UI &amp; Scripting Hub (Dragonwing Rubik Pi 3)</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CLI / Tooling: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GenieX Local Server</w:t>
      </w:r>
      <w:r w:rsidDel="00000000" w:rsidR="00000000" w:rsidRPr="00000000">
        <w:rPr>
          <w:rFonts w:ascii="Google Sans" w:cs="Google Sans" w:eastAsia="Google Sans" w:hAnsi="Google Sans"/>
          <w:color w:val="1f1f1f"/>
          <w:rtl w:val="0"/>
        </w:rPr>
        <w:t xml:space="preserve"> (running an OpenAI-compatible API endpoint locally on the board).</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Runtime:</w:t>
      </w:r>
      <w:r w:rsidDel="00000000" w:rsidR="00000000" w:rsidRPr="00000000">
        <w:rPr>
          <w:rFonts w:ascii="Google Sans" w:cs="Google Sans" w:eastAsia="Google Sans" w:hAnsi="Google Sans"/>
          <w:color w:val="1f1f1f"/>
          <w:rtl w:val="0"/>
        </w:rPr>
        <w:t xml:space="preserve"> Qualcomm Hexagon 770 NPU via QAIRT.</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Job:</w:t>
      </w:r>
      <w:r w:rsidDel="00000000" w:rsidR="00000000" w:rsidRPr="00000000">
        <w:rPr>
          <w:rFonts w:ascii="Google Sans" w:cs="Google Sans" w:eastAsia="Google Sans" w:hAnsi="Google Sans"/>
          <w:color w:val="1f1f1f"/>
          <w:rtl w:val="0"/>
        </w:rPr>
        <w:t xml:space="preserve"> Driving your interface and hosting your background scripting model. It continuously ingests agent actions, formats them into your JSONL Almanac, and pushes them to your Red Agent auditor.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