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Creating a custom subagent in Claude Code is as simple as writing a Markdown file. The CLI uses YAML frontmatter to configure the agent's model, tool access, and routing behavior.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Choose a Location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Code looks for subagent definitions in two specific directories: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Project-level: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&lt;project-root&gt;/.claude/agents/ (ideal for codebase-specific agents you want to commit to version control).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User-level: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~/.claude/agents/ (personal agents available globally across all your projects).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Define the Agent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.md file in your chosen directory (e.g., code-reviewer.md). The top of the file must contain a YAML configuration block, and the body below it becomes the system prompt.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an example of an agent hardcoded to use a faster model for a restricted task: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Markdown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---</w:t>
        <w:br w:type="textWrapping"/>
        <w:t xml:space="preserve">name: code-reviewer</w:t>
        <w:br w:type="textWrapping"/>
        <w:t xml:space="preserve">description: Scans code for security vulnerabilities like SQL injection and XSS. Use this agent when analyzing files for security risks.</w:t>
        <w:br w:type="textWrapping"/>
        <w:t xml:space="preserve">tools: Read, Grep, Glob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model: haiku</w:t>
        <w:br w:type="textWrapping"/>
        <w:t xml:space="preserve">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You are a security auditor. Focus on identifying vulnerabilities and hardcoded secrets. </w:t>
        <w:br w:type="textWrapping"/>
        <w:t xml:space="preserve">Explain each issue and show the current code, but do not edit the files directly.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Configuration Breakdown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field assigns the specific model. You can use tier aliases (haiku, sonnet, opus, fable) or a full model ID (like claude-opus-5). If you omit this field entirely, the subagent defaults to inheriting whichever model is currently active in your main session.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internal identifier, which should be lowercase and use hyphens.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is the trigger. Claude reads this to decide when to automatically delegate a task to this subagent. Be explicitly clear about what scenarios should trigger it.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comma-separated list of allowed tools. Restricting tools (omitting Write or Bash, for example) is the best way to ensure a subagent doesn't do anything destructive or out of scope.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Invoking the Subagent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file is saved, the agent is immediately active. You can trigger it in two ways: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Automatic Delegation: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Ask your main session a question that strongly matches the description field (e.g., "Check my recent changes for security issues"). The main orchestrator will detect the match and spawn the subagent in the background.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Explicit Invocation: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Bypass the orchestrator's routing logic and call the agent directly by using /agent:&lt;name&gt; in your prompt (e.g., /agent:code-reviewer review src/auth/).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