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Since we just covered the high-level strategy—keeping it under 150 lines, separating rules from maps, and strictly defining commands—let's look at exactly what this looks like in practice.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When you are managing a complex repository with multiple moving parts, like a branched Open Wiki fork or a custom voice-interaction layer, your CLAUDE.md needs to act as a strict compass.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Here is a blueprint of how to structure the file for an advanced, hardware-specific project: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The Blueprint: CLAUDE.md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390" w:line="275.9999942779541" w:lineRule="auto"/>
        <w:ind w:left="48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Arial" w:cs="Arial" w:eastAsia="Arial" w:hAnsi="Arial"/>
          <w:color w:val="ffffff"/>
          <w:highlight w:val="black"/>
        </w:rPr>
      </w:pPr>
      <w:r w:rsidDel="00000000" w:rsidR="00000000" w:rsidRPr="00000000">
        <w:rPr>
          <w:rFonts w:ascii="Arial" w:cs="Arial" w:eastAsia="Arial" w:hAnsi="Arial"/>
          <w:color w:val="ffffff"/>
          <w:highlight w:val="black"/>
          <w:rtl w:val="0"/>
        </w:rPr>
        <w:t xml:space="preserve">Markdown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Arial" w:cs="Arial" w:eastAsia="Arial" w:hAnsi="Arial"/>
          <w:color w:val="1f1f1f"/>
          <w:highlight w:val="black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highlight w:val="black"/>
          <w:rtl w:val="0"/>
        </w:rPr>
        <w:t xml:space="preserve"># Project Overview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br w:type="textWrapping"/>
        <w:t xml:space="preserve">This is a custom fork of the Open Wiki repo optimized for localized AI and voice interaction. The architecture relies on the Qualcomm QAIRT toolchain targeted for Snapdragon 8 Elite environments. </w:t>
        <w:br w:type="textWrapping"/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highlight w:val="black"/>
          <w:rtl w:val="0"/>
        </w:rPr>
        <w:t xml:space="preserve"># 1. Build and Execution Commands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highlight w:val="black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ffffff"/>
          <w:sz w:val="20"/>
          <w:szCs w:val="20"/>
          <w:highlight w:val="black"/>
          <w:rtl w:val="0"/>
        </w:rPr>
        <w:t xml:space="preserve">**Linting:**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highlight w:val="black"/>
          <w:rtl w:val="0"/>
        </w:rPr>
        <w:t xml:space="preserve">`npm run lint`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highlight w:val="black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ffffff"/>
          <w:sz w:val="20"/>
          <w:szCs w:val="20"/>
          <w:highlight w:val="black"/>
          <w:rtl w:val="0"/>
        </w:rPr>
        <w:t xml:space="preserve">**Model Conversion:**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highlight w:val="black"/>
          <w:rtl w:val="0"/>
        </w:rPr>
        <w:t xml:space="preserve">`qairt-converter --input_network &lt;model.onnx&gt; --output_path &lt;path&gt;`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highlight w:val="black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ffffff"/>
          <w:sz w:val="20"/>
          <w:szCs w:val="20"/>
          <w:highlight w:val="black"/>
          <w:rtl w:val="0"/>
        </w:rPr>
        <w:t xml:space="preserve">**Run Tests:**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highlight w:val="black"/>
          <w:rtl w:val="0"/>
        </w:rPr>
        <w:t xml:space="preserve">`pytest tests/voice_layer/ --disable-warnings`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highlight w:val="black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ffffff"/>
          <w:sz w:val="20"/>
          <w:szCs w:val="20"/>
          <w:highlight w:val="black"/>
          <w:rtl w:val="0"/>
        </w:rPr>
        <w:t xml:space="preserve">*Never attempt to run standard server-side Docker containers; all builds must target the local edge environment.*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br w:type="textWrapping"/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highlight w:val="black"/>
          <w:rtl w:val="0"/>
        </w:rPr>
        <w:t xml:space="preserve"># 2. Hard Architectural Rules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highlight w:val="black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ffffff"/>
          <w:sz w:val="20"/>
          <w:szCs w:val="20"/>
          <w:highlight w:val="black"/>
          <w:rtl w:val="0"/>
        </w:rPr>
        <w:t xml:space="preserve">**Voice Layer Integration:**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t xml:space="preserve"> When modifying the STT (Speech-to-Text) or TTS (Text-to-Speech) pipelines, always ensure audio buffering is handled asynchronously to prevent blocking the main thread.</w:t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highlight w:val="black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ffffff"/>
          <w:sz w:val="20"/>
          <w:szCs w:val="20"/>
          <w:highlight w:val="black"/>
          <w:rtl w:val="0"/>
        </w:rPr>
        <w:t xml:space="preserve">**Model Deployment:**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t xml:space="preserve"> All compiled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highlight w:val="black"/>
          <w:rtl w:val="0"/>
        </w:rPr>
        <w:t xml:space="preserve">`.dlc`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t xml:space="preserve"> (Deep Learning Container) files must be placed strictly in the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highlight w:val="black"/>
          <w:rtl w:val="0"/>
        </w:rPr>
        <w:t xml:space="preserve">`/models/compiled/`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t xml:space="preserve"> directory. Do not leave raw weights in the repository.</w:t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highlight w:val="black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ffffff"/>
          <w:sz w:val="20"/>
          <w:szCs w:val="20"/>
          <w:highlight w:val="black"/>
          <w:rtl w:val="0"/>
        </w:rPr>
        <w:t xml:space="preserve">**Data Formatting:**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t xml:space="preserve"> When prepping local reference data for the agent, rely on the established JSONL caching pipeline. Do not introduce new SQLite dependencies.</w:t>
        <w:br w:type="textWrapping"/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highlight w:val="black"/>
          <w:rtl w:val="0"/>
        </w:rPr>
        <w:t xml:space="preserve"># 3. Code Style &amp; Git Conventions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highlight w:val="black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ffffff"/>
          <w:sz w:val="20"/>
          <w:szCs w:val="20"/>
          <w:highlight w:val="black"/>
          <w:rtl w:val="0"/>
        </w:rPr>
        <w:t xml:space="preserve">**Commit Messages:**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t xml:space="preserve"> Must follow the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highlight w:val="black"/>
          <w:rtl w:val="0"/>
        </w:rPr>
        <w:t xml:space="preserve">`type(scope): description`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t xml:space="preserve"> format (e.g.,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highlight w:val="black"/>
          <w:rtl w:val="0"/>
        </w:rPr>
        <w:t xml:space="preserve">`feat(tts): optimize audio chunking`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t xml:space="preserve">).</w:t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highlight w:val="black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ffffff"/>
          <w:sz w:val="20"/>
          <w:szCs w:val="20"/>
          <w:highlight w:val="black"/>
          <w:rtl w:val="0"/>
        </w:rPr>
        <w:t xml:space="preserve">**Python:**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t xml:space="preserve"> Strictly adhere to PEP 8; use type hinting for all new function definitions.</w:t>
        <w:br w:type="textWrapping"/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highlight w:val="black"/>
          <w:rtl w:val="0"/>
        </w:rPr>
        <w:t xml:space="preserve"># 4. Context Pointers (Index)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i w:val="1"/>
          <w:iCs w:val="1"/>
          <w:color w:val="ffffff"/>
          <w:sz w:val="20"/>
          <w:szCs w:val="20"/>
          <w:highlight w:val="black"/>
          <w:rtl w:val="0"/>
        </w:rPr>
        <w:t xml:space="preserve">*If you need deeper context, read the following files:*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highlight w:val="black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t xml:space="preserve"> QAIRT configuration and GenieX pipeline details: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highlight w:val="black"/>
          <w:rtl w:val="0"/>
        </w:rPr>
        <w:t xml:space="preserve">`@docs/qairt-toolchain.md`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highlight w:val="black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t xml:space="preserve"> Voice layer (STT/TTS) latency requirements: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highlight w:val="black"/>
          <w:rtl w:val="0"/>
        </w:rPr>
        <w:t xml:space="preserve">`@docs/voice-latency-specs.md`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highlight w:val="black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t xml:space="preserve"> Core Open Wiki upstream sync rules: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highlight w:val="black"/>
          <w:rtl w:val="0"/>
        </w:rPr>
        <w:t xml:space="preserve">`@docs/upstream-sync.md`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br w:type="textWrapping"/>
      </w:r>
    </w:p>
    <w:p w:rsidR="00000000" w:rsidDel="00000000" w:rsidP="00000000" w:rsidRDefault="00000000" w:rsidRPr="00000000" w14:paraId="0000000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Why This Structure Works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Immediate Boundary Setting: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By explicitly mentioning the hardware target (Snapdragon 8 Elite) and the toolchain (QAIRT) right at the top, the lead agent instantly drops generalized web-development assumptions and shifts into edge-computing mode.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Actionable Guardrails: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Notice the rule about not using standard Docker containers. If the agent ever tries to write a standard docker-compose file to fix a build issue, this rule stops it and forces it to use your edge-specific deployment flow.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Delegated Memory: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By isolating the heavy toolchain documentation into @docs/qairt-toolchain.md, your main CLAUDE.md stays lean. The agent will only spend tokens reading about the toolchain when you specifically ask it to debug a model conversion.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