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we just covered the high-level strategy—keeping it under 150 lines, separating rules from maps, and strictly defining commands—let's look at exactly what this looks like in practice.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are managing a complex repository with multiple moving parts, like a branched Open Wiki fork or a custom voice-interaction layer, your CLAUDE.md needs to act as a strict compass.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blueprint of how to structure the file for an advanced, hardware-specific project: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Blueprint: CLAUDE.md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Project Overview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This is a custom fork of the Open Wiki repo optimized for localized AI and voice interaction. The architecture relies on the Qualcomm QAIRT toolchain targeted for Snapdragon 8 Elite environments.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1. Build and Execution Commands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**Linting:**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`npm run lint`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Conversion:**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`qairt-converter --input_network &lt;model.onnx&gt; --output_path &lt;path&gt;`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**Run Tests:**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`pytest tests/voice_layer/ --disable-warnings`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highlight w:val="black"/>
          <w:rtl w:val="0"/>
        </w:rPr>
        <w:t xml:space="preserve">*Never attempt to run standard server-side Docker containers; all builds must target the local edge environment.*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2. Hard Architectural Rules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**Voice Layer Integration:**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When modifying the STT (Speech-to-Text) or TTS (Text-to-Speech) pipelines, always ensure audio buffering is handled asynchronously to prevent blocking the main thread.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Deployment:**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All compiled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`.dlc`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(Deep Learning Container) files must be placed strictly in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`/models/compiled/`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directory. Do not leave raw weights in the repository.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**Data Formatting:**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When prepping local reference data for the agent, rely on the established JSONL caching pipeline. Do not introduce new SQLite dependencies.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3. Code Style &amp; Git Conventions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**Commit Messages:**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Must follow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`type(scope): description`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format (e.g.,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`feat(tts): optimize audio chunking`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**Python:**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Strictly adhere to PEP 8; use type hinting for all new function definitions.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4. Context Pointers (Index)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highlight w:val="black"/>
          <w:rtl w:val="0"/>
        </w:rPr>
        <w:t xml:space="preserve">*If you need deeper context, read the following files:*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QAIRT configuration and GenieX pipeline details: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`@docs/qairt-toolchain.md`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Voice layer (STT/TTS) latency requirements: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`@docs/voice-latency-specs.md`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Core Open Wiki upstream sync rules: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`@docs/upstream-sync.md`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Structure Works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Boundary Setting: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explicitly mentioning the hardware target (Snapdragon 8 Elite) and the toolchain (QAIRT) right at the top, the lead agent instantly drops generalized web-development assumptions and shifts into edge-computing mode.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Notice the rule about not using standard Docker containers. If the agent ever tries to write a standard docker-compose file to fix a build issue, this rule stops it and forces it to use your edge-specific deployment flow.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Delegated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isolating the heavy toolchain documentation into @docs/qairt-toolchain.md, your main CLAUDE.md stays lean. The agent will only spend tokens reading about the toolchain when you specifically ask it to debug a model conversion.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