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F471E">
      <w:pPr>
        <w:spacing w:before="0" w:after="0" w:line="300" w:lineRule="auto"/>
        <w:ind w:firstLine="420" w:firstLineChars="0"/>
        <w:rPr>
          <w:rFonts w:ascii="宋体" w:hAnsi="宋体"/>
          <w:b/>
          <w:szCs w:val="21"/>
        </w:rPr>
      </w:pPr>
    </w:p>
    <w:p w14:paraId="2BA841C9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  <w:r>
        <w:rPr>
          <w:szCs w:val="24"/>
        </w:rPr>
        <w:drawing>
          <wp:inline distT="0" distB="0" distL="114300" distR="114300">
            <wp:extent cx="4464685" cy="798830"/>
            <wp:effectExtent l="0" t="0" r="5715" b="13970"/>
            <wp:docPr id="1" name="图片 8" descr="院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 descr="院字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64685" cy="79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8778">
      <w:pPr>
        <w:spacing w:before="0" w:after="0" w:line="300" w:lineRule="auto"/>
        <w:jc w:val="center"/>
        <w:rPr>
          <w:rFonts w:ascii="宋体" w:hAnsi="宋体"/>
          <w:b/>
          <w:szCs w:val="21"/>
        </w:rPr>
      </w:pPr>
    </w:p>
    <w:p w14:paraId="568A036C">
      <w:pPr>
        <w:spacing w:before="0" w:after="0" w:line="300" w:lineRule="auto"/>
        <w:jc w:val="center"/>
        <w:rPr>
          <w:rFonts w:ascii="宋体" w:hAnsi="宋体"/>
          <w:sz w:val="32"/>
          <w:szCs w:val="32"/>
        </w:rPr>
      </w:pPr>
      <w:r>
        <w:rPr>
          <w:b/>
          <w:szCs w:val="24"/>
        </w:rPr>
        <w:drawing>
          <wp:inline distT="0" distB="0" distL="114300" distR="114300">
            <wp:extent cx="1571625" cy="1296035"/>
            <wp:effectExtent l="0" t="0" r="3175" b="24765"/>
            <wp:docPr id="2" name="图片 9" descr="温州商学院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9" descr="温州商学院校标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237C1">
      <w:pPr>
        <w:spacing w:before="0" w:after="0" w:line="300" w:lineRule="auto"/>
        <w:jc w:val="center"/>
        <w:rPr>
          <w:rFonts w:ascii="黑体" w:hAnsi="宋体" w:eastAsia="黑体"/>
          <w:bCs/>
          <w:sz w:val="52"/>
          <w:szCs w:val="52"/>
        </w:rPr>
      </w:pPr>
      <w:r>
        <w:rPr>
          <w:rFonts w:hint="eastAsia" w:ascii="黑体" w:hAnsi="宋体" w:eastAsia="黑体"/>
          <w:bCs/>
          <w:sz w:val="52"/>
          <w:szCs w:val="52"/>
        </w:rPr>
        <w:t>《</w:t>
      </w:r>
      <w:r>
        <w:rPr>
          <w:rFonts w:hint="eastAsia" w:ascii="黑体" w:hAnsi="宋体" w:eastAsia="黑体"/>
          <w:bCs/>
          <w:sz w:val="52"/>
          <w:szCs w:val="52"/>
          <w:lang w:val="en-US" w:eastAsia="zh-CN"/>
        </w:rPr>
        <w:t>企业级系统开发实践</w:t>
      </w:r>
      <w:r>
        <w:rPr>
          <w:rFonts w:hint="eastAsia" w:ascii="黑体" w:hAnsi="宋体" w:eastAsia="黑体"/>
          <w:bCs/>
          <w:sz w:val="52"/>
          <w:szCs w:val="52"/>
        </w:rPr>
        <w:t>》</w:t>
      </w:r>
    </w:p>
    <w:p w14:paraId="5B11A1B5">
      <w:pPr>
        <w:spacing w:before="0" w:after="0" w:line="300" w:lineRule="auto"/>
        <w:jc w:val="center"/>
        <w:rPr>
          <w:rFonts w:hint="eastAsia" w:ascii="黑体" w:hAnsi="宋体" w:eastAsia="黑体"/>
          <w:bCs/>
          <w:sz w:val="36"/>
          <w:szCs w:val="32"/>
          <w:lang w:val="en-US" w:eastAsia="zh-CN"/>
        </w:rPr>
      </w:pPr>
      <w:r>
        <w:rPr>
          <w:rFonts w:hint="eastAsia" w:ascii="黑体" w:hAnsi="宋体" w:eastAsia="黑体"/>
          <w:bCs/>
          <w:sz w:val="36"/>
          <w:szCs w:val="32"/>
          <w:lang w:val="en-US" w:eastAsia="zh-CN"/>
        </w:rPr>
        <w:t>需求分析与项目规划报告</w:t>
      </w:r>
    </w:p>
    <w:p w14:paraId="15B1780D">
      <w:pPr>
        <w:spacing w:before="0" w:after="0" w:line="300" w:lineRule="auto"/>
        <w:jc w:val="center"/>
        <w:rPr>
          <w:rFonts w:hint="default" w:ascii="黑体" w:hAnsi="宋体" w:eastAsia="黑体"/>
          <w:bCs/>
          <w:sz w:val="36"/>
          <w:szCs w:val="32"/>
          <w:lang w:val="en-US" w:eastAsia="zh-CN"/>
        </w:rPr>
      </w:pPr>
    </w:p>
    <w:tbl>
      <w:tblPr>
        <w:tblStyle w:val="12"/>
        <w:tblW w:w="7004" w:type="dxa"/>
        <w:tblInd w:w="155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5286"/>
      </w:tblGrid>
      <w:tr w14:paraId="3EE9FC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718" w:type="dxa"/>
            <w:vAlign w:val="bottom"/>
          </w:tcPr>
          <w:p w14:paraId="5689346C">
            <w:pPr>
              <w:spacing w:before="0" w:after="0" w:line="300" w:lineRule="auto"/>
              <w:rPr>
                <w:rFonts w:hint="eastAsia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题目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1C9F84BA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</w:rPr>
              <w:t>天枢·低空智能运营管控平台</w:t>
            </w:r>
          </w:p>
        </w:tc>
      </w:tr>
      <w:tr w14:paraId="2F4C1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1718" w:type="dxa"/>
            <w:vAlign w:val="bottom"/>
          </w:tcPr>
          <w:p w14:paraId="4AF63108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学院:</w:t>
            </w:r>
          </w:p>
        </w:tc>
        <w:tc>
          <w:tcPr>
            <w:tcW w:w="5286" w:type="dxa"/>
            <w:tcBorders>
              <w:bottom w:val="single" w:color="auto" w:sz="4" w:space="0"/>
            </w:tcBorders>
            <w:vAlign w:val="center"/>
          </w:tcPr>
          <w:p w14:paraId="61C3CAE8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信息工程学院</w:t>
            </w:r>
          </w:p>
        </w:tc>
      </w:tr>
      <w:tr w14:paraId="1CCE59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1667A07D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专业: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084AC2F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计算机科学与技术</w:t>
            </w:r>
          </w:p>
        </w:tc>
      </w:tr>
      <w:tr w14:paraId="37933C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334F0F5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班级: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0CDD50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ascii="宋体" w:hAnsi="宋体"/>
                <w:sz w:val="32"/>
                <w:szCs w:val="32"/>
              </w:rPr>
              <w:t>2</w:t>
            </w: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3</w:t>
            </w:r>
            <w:r>
              <w:rPr>
                <w:rFonts w:hint="eastAsia" w:ascii="宋体" w:hAnsi="宋体"/>
                <w:sz w:val="32"/>
                <w:szCs w:val="32"/>
              </w:rPr>
              <w:t>计算机</w:t>
            </w: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科学与技术本</w:t>
            </w:r>
            <w:r>
              <w:rPr>
                <w:rFonts w:hint="eastAsia" w:ascii="宋体" w:hAnsi="宋体"/>
                <w:sz w:val="32"/>
                <w:szCs w:val="32"/>
              </w:rPr>
              <w:t>X班</w:t>
            </w:r>
          </w:p>
        </w:tc>
      </w:tr>
      <w:tr w14:paraId="3AE5E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267D21BA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bookmarkStart w:id="1" w:name="_GoBack" w:colFirst="1" w:colLast="1"/>
            <w:r>
              <w:rPr>
                <w:rFonts w:hint="eastAsia" w:ascii="宋体" w:hAnsi="宋体"/>
                <w:sz w:val="32"/>
                <w:szCs w:val="32"/>
              </w:rPr>
              <w:t>姓名: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2983A88D">
            <w:pPr>
              <w:spacing w:before="0" w:after="0" w:line="300" w:lineRule="auto"/>
              <w:jc w:val="center"/>
              <w:rPr>
                <w:rFonts w:ascii="宋体" w:hAnsi="宋体"/>
                <w:sz w:val="32"/>
                <w:szCs w:val="32"/>
              </w:rPr>
            </w:pPr>
            <w:r>
              <w:rPr>
                <w:rFonts w:hint="eastAsia" w:hAnsi="宋体"/>
                <w:b/>
                <w:bCs/>
                <w:sz w:val="32"/>
                <w:szCs w:val="32"/>
                <w:lang w:val="en-US" w:eastAsia="zh-CN"/>
              </w:rPr>
              <w:t>江炘珂</w:t>
            </w:r>
          </w:p>
        </w:tc>
      </w:tr>
      <w:tr w14:paraId="12A4D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205EC48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学号: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EA6DE23">
            <w:pPr>
              <w:spacing w:before="0" w:after="0" w:line="300" w:lineRule="auto"/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23210816236</w:t>
            </w:r>
          </w:p>
        </w:tc>
      </w:tr>
      <w:tr w14:paraId="0AC16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</w:trPr>
        <w:tc>
          <w:tcPr>
            <w:tcW w:w="1718" w:type="dxa"/>
            <w:vAlign w:val="bottom"/>
          </w:tcPr>
          <w:p w14:paraId="58B896AB">
            <w:pPr>
              <w:spacing w:before="0" w:after="0" w:line="300" w:lineRule="auto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32"/>
                <w:szCs w:val="32"/>
              </w:rPr>
              <w:t>日期:</w:t>
            </w:r>
          </w:p>
        </w:tc>
        <w:tc>
          <w:tcPr>
            <w:tcW w:w="5286" w:type="dxa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C790BAB">
            <w:pPr>
              <w:spacing w:before="0" w:after="0" w:line="300" w:lineRule="auto"/>
              <w:jc w:val="center"/>
              <w:rPr>
                <w:rFonts w:hint="default" w:ascii="宋体" w:hAnsi="宋体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 w:ascii="宋体" w:hAnsi="宋体"/>
                <w:sz w:val="32"/>
                <w:szCs w:val="32"/>
                <w:lang w:val="en-US" w:eastAsia="zh-CN"/>
              </w:rPr>
              <w:t>2026.9</w:t>
            </w:r>
          </w:p>
        </w:tc>
      </w:tr>
      <w:bookmarkEnd w:id="1"/>
    </w:tbl>
    <w:p w14:paraId="1031A419">
      <w:pPr>
        <w:spacing w:before="0" w:after="0"/>
        <w:ind w:firstLine="640" w:firstLineChars="200"/>
        <w:jc w:val="center"/>
        <w:rPr>
          <w:rFonts w:eastAsia="黑体"/>
          <w:sz w:val="32"/>
          <w:szCs w:val="24"/>
        </w:rPr>
      </w:pPr>
    </w:p>
    <w:p w14:paraId="516AA8BB">
      <w:pPr>
        <w:pStyle w:val="18"/>
        <w:spacing w:before="312" w:beforeLines="100" w:after="40"/>
        <w:jc w:val="center"/>
        <w:outlineLvl w:val="0"/>
        <w:rPr>
          <w:rFonts w:hint="eastAsia" w:ascii="Times New Roman" w:eastAsia="黑体"/>
          <w:b/>
          <w:kern w:val="27905"/>
          <w:sz w:val="28"/>
          <w:szCs w:val="28"/>
          <w:lang w:val="en-US" w:eastAsia="zh-CN"/>
        </w:rPr>
      </w:pPr>
      <w:r>
        <w:rPr>
          <w:rFonts w:eastAsia="黑体"/>
          <w:sz w:val="32"/>
        </w:rPr>
        <w:br w:type="page"/>
      </w:r>
    </w:p>
    <w:p w14:paraId="03D7FA9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项目概述</w:t>
      </w:r>
    </w:p>
    <w:p w14:paraId="3C83537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本项目面向城市级、区域级低空物流与运营场景，建设“天枢·低空智能运营管控平台”，基于B/S架构与PCWeb端、移动端双端协同，覆盖商家、客户、管理员、空管、运维等多类角色，实现低空飞行“申请—审批—调度—监控—结算”全生命周期闭环管理。平台以Vue3+Flask+MySQL为主技术栈，通过订单、调度、空域、监控、统计等七大功能模块，将分散的低空活动转化为可监管、可计量、可服务的数字化运营体系，支撑低空经济安全、高效、规模化发展。</w:t>
      </w:r>
    </w:p>
    <w:p w14:paraId="0D4C5AF8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项目背景与业务目标</w:t>
      </w:r>
    </w:p>
    <w:p w14:paraId="0FDAD8B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近年来，低空经济作为新兴产业形态，涵盖无人机物流、应急救援等多元业态，已成为推动经济高质量发展的新增长极。当前低空物流发展仍面临空域资源供需失衡、飞行计划审批效率低下、运营监管缺乏数字化手段、多角色协同不畅、数据互通壁垒明显等痛点。为响应国家空域管理改革与低空经济发展战略，满足城市低空资源综合管理需求，立项开发本平台。平台聚焦空中物流配送核心场景（城市即时配送与零售、紧急医疗物资配送、偏远地区物流等），演示区域设定为浙江温州。核心业务目标为：构建安全、高效、可扩展的低空运营数字底座，实现低空飞行“申请—审批—调度—监控—结算”全生命周期闭环管理，将分散的低空活动转化为可监管、可计量、可服务的系统性经济行为，支撑低空经济安全、高效、规模化发展。</w:t>
      </w:r>
    </w:p>
    <w:p w14:paraId="66391B2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平台基于真实业务需求完成规范化需求梳理与系统设计，遵循“需求分析→系统设计→数据库设计→前端信息架构→Mock与仿真方案→排期”的完整软件工程流程，确保设计可执行、可追溯、可验收。</w:t>
      </w:r>
    </w:p>
    <w:p w14:paraId="0F8159BE">
      <w:pPr>
        <w:pStyle w:val="3"/>
        <w:numPr>
          <w:ilvl w:val="1"/>
          <w:numId w:val="2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主要工作内容</w:t>
      </w:r>
    </w:p>
    <w:p w14:paraId="5F94852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主要工作内容包括：</w:t>
      </w:r>
    </w:p>
    <w:p w14:paraId="0A69F0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（1）需求调研与分析：以《项目开发计划书》为基准，梳理业务场景、角色需求与非功能约束，形成需求分析报告与需求追溯矩阵；</w:t>
      </w:r>
    </w:p>
    <w:p w14:paraId="6EFA31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（2）系统总体设计：完成前后端分离的模块化单体架构设计、9大后端领域蓝图划分、前端双布局信息架构与41个页面清单设计；</w:t>
      </w:r>
    </w:p>
    <w:p w14:paraId="121E2A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（3）数据库设计：完成概念模型（E-R图）、逻辑模型与物理模型设计，产出MySQL8.0建库建表脚本（35张表，含种子数据）；</w:t>
      </w:r>
    </w:p>
    <w:p w14:paraId="2D3C5D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（4）前端开发：基于Vue3+TypeScript+Vite+ElementPlus完成客户门户与管控台（含高德地图、ECharts大屏、实时跟踪）开发；</w:t>
      </w:r>
    </w:p>
    <w:p w14:paraId="1B2E49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（5）后端开发：基于Flask完成认证、订单、调度、空域、监控、统计等9大领域接口开发，含RBAC权限、实时WebSocket、飞行仿真器与四层Mock适配；</w:t>
      </w:r>
    </w:p>
    <w:p w14:paraId="66B4F1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（6）测试与文档：接口单元测试、全链路回归、性能测试，交付全套项目文档（接口文档、测试用例、部署指南）。</w:t>
      </w:r>
    </w:p>
    <w:p w14:paraId="454A88D3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Toc688500838_WPSOffice_Level1"/>
      <w:r>
        <w:rPr>
          <w:rFonts w:hint="eastAsia"/>
          <w:lang w:val="en-US" w:eastAsia="zh-CN"/>
        </w:rPr>
        <w:t>需求分析</w:t>
      </w:r>
    </w:p>
    <w:p w14:paraId="105A7B25">
      <w:pPr>
        <w:pStyle w:val="3"/>
        <w:numPr>
          <w:ilvl w:val="1"/>
          <w:numId w:val="3"/>
        </w:numPr>
        <w:bidi w:val="0"/>
        <w:ind w:left="0" w:leftChars="0" w:firstLine="0" w:firstLineChars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核心功能需求</w:t>
      </w:r>
      <w:r>
        <w:rPr>
          <w:rFonts w:hint="eastAsia"/>
          <w:b/>
          <w:lang w:val="en-US" w:eastAsia="zh-CN"/>
        </w:rPr>
        <w:t>分析</w:t>
      </w:r>
    </w:p>
    <w:p w14:paraId="1B2C082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本项目采用“计划书基准+场景调研+功能拆解+角色访谈”相结合的方式完成需求分析：首先以《项目开发计划书》的功能描述与角色需求为基准，通过场景调研梳理“申请—审批—调度—监控—结算”五大核心环节的业务流程；再对整体功能进行模块化拆解，并结合商家、客户、管理员、空管等角色访谈结果细化功能要求与非功能约束，最终形成可追溯的需求清单。</w:t>
      </w:r>
    </w:p>
    <w:p w14:paraId="48E87BA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平台划分为7大核心功能模块，双端协同实现：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0"/>
        <w:gridCol w:w="4620"/>
      </w:tblGrid>
      <w:tr w14:paraId="25272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14" w:type="dxa"/>
            <w:shd w:val="clear" w:color="auto" w:fill="D9D9D9"/>
            <w:vAlign w:val="center"/>
          </w:tcPr>
          <w:p w14:paraId="08610F10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模块</w:t>
            </w:r>
          </w:p>
        </w:tc>
        <w:tc>
          <w:tcPr>
            <w:tcW w:w="7257" w:type="dxa"/>
            <w:shd w:val="clear" w:color="auto" w:fill="D9D9D9"/>
            <w:vAlign w:val="center"/>
          </w:tcPr>
          <w:p w14:paraId="7942FCED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核心功能清单</w:t>
            </w:r>
          </w:p>
        </w:tc>
      </w:tr>
      <w:tr w14:paraId="0D019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FB636F0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账号与权限管理</w:t>
            </w:r>
          </w:p>
        </w:tc>
        <w:tc>
          <w:tcPr>
            <w:tcW w:w="7257" w:type="dxa"/>
            <w:vAlign w:val="center"/>
          </w:tcPr>
          <w:p w14:paraId="6C97AAC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手机号注册、企业/商家资质认证、RBAC角色权限树状分配、资质到期预警（提前7天）、账号冻结/解冻与操作日志</w:t>
            </w:r>
          </w:p>
        </w:tc>
      </w:tr>
      <w:tr w14:paraId="22B368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4FAABB59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订单全流程管理</w:t>
            </w:r>
          </w:p>
        </w:tc>
        <w:tc>
          <w:tcPr>
            <w:tcW w:w="7257" w:type="dxa"/>
            <w:vAlign w:val="center"/>
          </w:tcPr>
          <w:p w14:paraId="53F5C080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分步表单/批量导入/预约下单、服务空域校验与费用试算、自动/手动接单拒单、智能路径规划与合规校验、订单实时跟踪、费用结算与评价投诉</w:t>
            </w:r>
          </w:p>
        </w:tc>
      </w:tr>
      <w:tr w14:paraId="26C81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406A220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低空资源管理</w:t>
            </w:r>
          </w:p>
        </w:tc>
        <w:tc>
          <w:tcPr>
            <w:tcW w:w="7257" w:type="dxa"/>
            <w:vAlign w:val="center"/>
          </w:tcPr>
          <w:p w14:paraId="5820363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飞行器台账与健康度评估、场站/换电站地图监控与预约、机长/运维资质与排班管理、</w:t>
            </w:r>
            <w:r>
              <w:rPr>
                <w:rFonts w:hint="eastAsia"/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</w:rPr>
              <w:t>人—机—场”资源协同</w:t>
            </w:r>
          </w:p>
        </w:tc>
      </w:tr>
      <w:tr w14:paraId="19433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1DFED43C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空域合规运营</w:t>
            </w:r>
          </w:p>
        </w:tc>
        <w:tc>
          <w:tcPr>
            <w:tcW w:w="7257" w:type="dxa"/>
            <w:vAlign w:val="center"/>
          </w:tcPr>
          <w:p w14:paraId="6A04AF70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禁飞区/限飞区数据同步、飞行计划表单+地图申报、智能审批、实时航迹比对与电子围栏告警、违规记录与分级处罚</w:t>
            </w:r>
          </w:p>
        </w:tc>
      </w:tr>
      <w:tr w14:paraId="1638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07633455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数据统计与报表</w:t>
            </w:r>
          </w:p>
        </w:tc>
        <w:tc>
          <w:tcPr>
            <w:tcW w:w="7257" w:type="dxa"/>
            <w:vAlign w:val="center"/>
          </w:tcPr>
          <w:p w14:paraId="397BDFFC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管理员/商家/空管定制化运营大屏、自定义报表生成器、Excel/PDF导出与受控分享</w:t>
            </w:r>
          </w:p>
        </w:tc>
      </w:tr>
      <w:tr w14:paraId="7AA0E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22398106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应急与客服管理</w:t>
            </w:r>
          </w:p>
        </w:tc>
        <w:tc>
          <w:tcPr>
            <w:tcW w:w="7257" w:type="dxa"/>
            <w:vAlign w:val="center"/>
          </w:tcPr>
          <w:p w14:paraId="2B76E38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失联/碰撞/故障分级告警与应急处置、客服工单闭环、帮助中心与在线咨询、多渠道消息通知</w:t>
            </w:r>
          </w:p>
        </w:tc>
      </w:tr>
      <w:tr w14:paraId="5E4CF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14" w:type="dxa"/>
            <w:vAlign w:val="center"/>
          </w:tcPr>
          <w:p w14:paraId="3E6ACF60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系统配置</w:t>
            </w:r>
          </w:p>
        </w:tc>
        <w:tc>
          <w:tcPr>
            <w:tcW w:w="7257" w:type="dxa"/>
            <w:vAlign w:val="center"/>
          </w:tcPr>
          <w:p w14:paraId="5CD7083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核心参数统一维护、外部接口监控与测试、数据自动备份、全量操作日志管理</w:t>
            </w:r>
          </w:p>
        </w:tc>
      </w:tr>
    </w:tbl>
    <w:p w14:paraId="6219BCE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</w:p>
    <w:p w14:paraId="2A94ACA0">
      <w:pPr>
        <w:pStyle w:val="3"/>
        <w:numPr>
          <w:ilvl w:val="1"/>
          <w:numId w:val="3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对应角色用例说明</w:t>
      </w:r>
    </w:p>
    <w:p w14:paraId="22F8A36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结合使用人群，系统覆盖以下角色及其操作场景与使用逻辑：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30EFB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D9D9D9"/>
            <w:vAlign w:val="center"/>
          </w:tcPr>
          <w:p w14:paraId="190E6174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角色</w:t>
            </w:r>
          </w:p>
        </w:tc>
        <w:tc>
          <w:tcPr>
            <w:tcW w:w="3515" w:type="dxa"/>
            <w:shd w:val="clear" w:color="auto" w:fill="D9D9D9"/>
            <w:vAlign w:val="center"/>
          </w:tcPr>
          <w:p w14:paraId="05F6F450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核心操作场景</w:t>
            </w:r>
          </w:p>
        </w:tc>
        <w:tc>
          <w:tcPr>
            <w:tcW w:w="3855" w:type="dxa"/>
            <w:shd w:val="clear" w:color="auto" w:fill="D9D9D9"/>
            <w:vAlign w:val="center"/>
          </w:tcPr>
          <w:p w14:paraId="32ED0B35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使用逻辑</w:t>
            </w:r>
          </w:p>
        </w:tc>
      </w:tr>
      <w:tr w14:paraId="0510A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D4E9C49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终端客户</w:t>
            </w:r>
          </w:p>
        </w:tc>
        <w:tc>
          <w:tcPr>
            <w:tcW w:w="3515" w:type="dxa"/>
            <w:vAlign w:val="center"/>
          </w:tcPr>
          <w:p w14:paraId="325ADC5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在线下单（选择寄收点、物品、时效）、Mock支付、订单跟踪、账单查看、评价投诉</w:t>
            </w:r>
          </w:p>
        </w:tc>
        <w:tc>
          <w:tcPr>
            <w:tcW w:w="3855" w:type="dxa"/>
            <w:vAlign w:val="center"/>
          </w:tcPr>
          <w:p w14:paraId="143DF2F5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登录客户门户→分步下单→系统校验服务空域并试算费用→支付后实时查看飞行状态与送达进度</w:t>
            </w:r>
          </w:p>
        </w:tc>
      </w:tr>
      <w:tr w14:paraId="2F307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7E5C5EA5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商家管理员/调度员</w:t>
            </w:r>
          </w:p>
        </w:tc>
        <w:tc>
          <w:tcPr>
            <w:tcW w:w="3515" w:type="dxa"/>
            <w:vAlign w:val="center"/>
          </w:tcPr>
          <w:p w14:paraId="400C9AFF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接单/拒单、调度方案生成与调整、飞行计划申报、机长任务下发、运营统计</w:t>
            </w:r>
          </w:p>
        </w:tc>
        <w:tc>
          <w:tcPr>
            <w:tcW w:w="3855" w:type="dxa"/>
            <w:vAlign w:val="center"/>
          </w:tcPr>
          <w:p w14:paraId="4DC4F70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登录管控台→待调度订单池→地图上匹配飞行器/机长/起降场并规划航线→提交申报审批→下发执行</w:t>
            </w:r>
          </w:p>
        </w:tc>
      </w:tr>
      <w:tr w14:paraId="2CA45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233A447D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机长</w:t>
            </w:r>
          </w:p>
        </w:tc>
        <w:tc>
          <w:tcPr>
            <w:tcW w:w="3515" w:type="dxa"/>
            <w:vAlign w:val="center"/>
          </w:tcPr>
          <w:p w14:paraId="1537E14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接收任务、起飞/送达确认、状态上报、设备故障上报</w:t>
            </w:r>
          </w:p>
        </w:tc>
        <w:tc>
          <w:tcPr>
            <w:tcW w:w="3855" w:type="dxa"/>
            <w:vAlign w:val="center"/>
          </w:tcPr>
          <w:p w14:paraId="7948833B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查看本人任务卡片→按任务窗执行→起飞/降落确认驱动状态流转</w:t>
            </w:r>
          </w:p>
        </w:tc>
      </w:tr>
      <w:tr w14:paraId="7F4330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E8311EE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平台管理员</w:t>
            </w:r>
          </w:p>
        </w:tc>
        <w:tc>
          <w:tcPr>
            <w:tcW w:w="3515" w:type="dxa"/>
            <w:vAlign w:val="center"/>
          </w:tcPr>
          <w:p w14:paraId="72F3CE8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商家入驻与资质审核、全平台订单监管、空域与违规管理、系统参数配置、数据大屏</w:t>
            </w:r>
          </w:p>
        </w:tc>
        <w:tc>
          <w:tcPr>
            <w:tcW w:w="3855" w:type="dxa"/>
            <w:vAlign w:val="center"/>
          </w:tcPr>
          <w:p w14:paraId="0D49332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登录管控台→审核资质/审批计划/处理违规→配置系统参数→通过大屏监控全局运营</w:t>
            </w:r>
          </w:p>
        </w:tc>
      </w:tr>
      <w:tr w14:paraId="4ED63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96FE6FC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空管监管人员</w:t>
            </w:r>
          </w:p>
        </w:tc>
        <w:tc>
          <w:tcPr>
            <w:tcW w:w="3515" w:type="dxa"/>
            <w:vAlign w:val="center"/>
          </w:tcPr>
          <w:p w14:paraId="172DFD4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飞行计划智能审批（单笔/批量）、空域监控、违规处理、监管报表</w:t>
            </w:r>
          </w:p>
        </w:tc>
        <w:tc>
          <w:tcPr>
            <w:tcW w:w="3855" w:type="dxa"/>
            <w:vAlign w:val="center"/>
          </w:tcPr>
          <w:p w14:paraId="3BB98B5F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查看待审批队列与空域叠加图→审批/驳回（驳回回退待调度）→监控航迹偏差并触发处置</w:t>
            </w:r>
          </w:p>
        </w:tc>
      </w:tr>
      <w:tr w14:paraId="7CB34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C087107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运维人员</w:t>
            </w:r>
          </w:p>
        </w:tc>
        <w:tc>
          <w:tcPr>
            <w:tcW w:w="3515" w:type="dxa"/>
            <w:vAlign w:val="center"/>
          </w:tcPr>
          <w:p w14:paraId="38A0072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飞行器/场站数据维护、故障处理、系统运维监控</w:t>
            </w:r>
          </w:p>
        </w:tc>
        <w:tc>
          <w:tcPr>
            <w:tcW w:w="3855" w:type="dxa"/>
            <w:vAlign w:val="center"/>
          </w:tcPr>
          <w:p w14:paraId="00259A0E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查看设备台账与健康度→处理故障工单→保障系统稳定运行</w:t>
            </w:r>
          </w:p>
        </w:tc>
      </w:tr>
    </w:tbl>
    <w:p w14:paraId="7BC1C16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center"/>
        <w:textAlignment w:val="auto"/>
      </w:pPr>
      <w:r>
        <w:drawing>
          <wp:inline distT="0" distB="0" distL="114300" distR="114300">
            <wp:extent cx="5219700" cy="3552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5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4F6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图2-1</w:t>
      </w:r>
      <w:r>
        <w:rPr>
          <w:rFonts w:hint="eastAsia" w:eastAsia="宋体" w:cs="Times New Roman"/>
          <w:kern w:val="0"/>
          <w:sz w:val="21"/>
          <w:szCs w:val="21"/>
          <w:lang w:val="en-US" w:eastAsia="zh-CN" w:bidi="ar"/>
        </w:rPr>
        <w:t>用例图</w:t>
      </w:r>
    </w:p>
    <w:bookmarkEnd w:id="0"/>
    <w:p w14:paraId="05056F4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项目总体目标</w:t>
      </w:r>
    </w:p>
    <w:p w14:paraId="0D3D28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本天枢·低空智能运营管控平台项目，计划完成一套面向城市级低空物流场景的线上运营管控平台，实现订单管控、资源调度、空域合规、实时监控、结算统计全流程数字化。</w:t>
      </w:r>
    </w:p>
    <w:p w14:paraId="1B64F0B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项目总体目标分为业务目标、质量目标、交付目标：</w:t>
      </w:r>
    </w:p>
    <w:p w14:paraId="02F13E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1.业务目标：解决低空物流行业空域资源供需失衡、审批效率低、监管缺手段等痛点；实现低空飞行“申请—审批—调度—监控—结算”全生命周期线上闭环；支持商家、客户、管理员、空管、运维多角色权限隔离与协同；支撑运营数据统计查询与决策分析。</w:t>
      </w:r>
    </w:p>
    <w:p w14:paraId="35B270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2.质量目标：系统功能完整，核心业务流程（下单—调度—审批—飞行—结算）无逻辑漏洞；不同角色权限严格隔离，禁止越权操作；PC端核心查询响应≤1s，实时轨迹推送流畅；数据存储安全可靠（敏感信息加密、轨迹按月分区）；代码结构清晰、模块解耦，便于两人并行开发与后期维护迭代。</w:t>
      </w:r>
    </w:p>
    <w:p w14:paraId="5B343B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  <w:r>
        <w:rPr>
          <w:rFonts w:hint="eastAsia" w:eastAsia="宋体" w:cs="Times New Roman"/>
          <w:kern w:val="0"/>
          <w:sz w:val="24"/>
          <w:szCs w:val="24"/>
          <w:lang w:val="en-US" w:eastAsia="zh-CN" w:bidi="ar"/>
        </w:rPr>
        <w:t>3.交付目标：按期完成需求分析、数据库设计（35表）、接口设计、代码开发与测试；最终交付可运行的天枢平台原型（Vue页面即高保真原型）+全套项目文档（接口文档、测试用例、部署指南）。</w:t>
      </w:r>
    </w:p>
    <w:p w14:paraId="35BD4966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项目进度计划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0"/>
        <w:gridCol w:w="2310"/>
      </w:tblGrid>
      <w:tr w14:paraId="1D433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077" w:type="dxa"/>
            <w:shd w:val="clear" w:color="auto" w:fill="D9D9D9"/>
            <w:vAlign w:val="center"/>
          </w:tcPr>
          <w:p w14:paraId="2B5D263F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阶段</w:t>
            </w:r>
          </w:p>
        </w:tc>
        <w:tc>
          <w:tcPr>
            <w:tcW w:w="2665" w:type="dxa"/>
            <w:shd w:val="clear" w:color="auto" w:fill="D9D9D9"/>
            <w:vAlign w:val="center"/>
          </w:tcPr>
          <w:p w14:paraId="621F84B9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前端（甲）</w:t>
            </w:r>
          </w:p>
        </w:tc>
        <w:tc>
          <w:tcPr>
            <w:tcW w:w="2778" w:type="dxa"/>
            <w:shd w:val="clear" w:color="auto" w:fill="D9D9D9"/>
            <w:vAlign w:val="center"/>
          </w:tcPr>
          <w:p w14:paraId="26DDFEC4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后端（乙）</w:t>
            </w:r>
          </w:p>
        </w:tc>
        <w:tc>
          <w:tcPr>
            <w:tcW w:w="2551" w:type="dxa"/>
            <w:shd w:val="clear" w:color="auto" w:fill="D9D9D9"/>
            <w:vAlign w:val="center"/>
          </w:tcPr>
          <w:p w14:paraId="4C994B7B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周六里程碑验收</w:t>
            </w:r>
          </w:p>
        </w:tc>
      </w:tr>
      <w:tr w14:paraId="77151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67DAC7F1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第1周</w:t>
            </w:r>
          </w:p>
        </w:tc>
        <w:tc>
          <w:tcPr>
            <w:tcW w:w="2665" w:type="dxa"/>
            <w:vAlign w:val="center"/>
          </w:tcPr>
          <w:p w14:paraId="635765A4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工程骨架、双布局、登录页、动态菜单、通用组件</w:t>
            </w:r>
          </w:p>
        </w:tc>
        <w:tc>
          <w:tcPr>
            <w:tcW w:w="2778" w:type="dxa"/>
            <w:vAlign w:val="center"/>
          </w:tcPr>
          <w:p w14:paraId="6B172EE3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建库跑DDL、Flask骨架、D1认证与权限树、Mock适配层骨架</w:t>
            </w:r>
          </w:p>
        </w:tc>
        <w:tc>
          <w:tcPr>
            <w:tcW w:w="2551" w:type="dxa"/>
            <w:vAlign w:val="center"/>
          </w:tcPr>
          <w:p w14:paraId="3203BE0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M1能登录：三角色登录分流、菜单按角色不同、越权跳403</w:t>
            </w:r>
          </w:p>
        </w:tc>
      </w:tr>
      <w:tr w14:paraId="454F3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0C22F7E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第2周</w:t>
            </w:r>
          </w:p>
        </w:tc>
        <w:tc>
          <w:tcPr>
            <w:tcW w:w="2665" w:type="dxa"/>
            <w:vAlign w:val="center"/>
          </w:tcPr>
          <w:p w14:paraId="2F7A4A2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客户门户：高德选点下单、订单列表/详情、地址簿、账单</w:t>
            </w:r>
          </w:p>
        </w:tc>
        <w:tc>
          <w:tcPr>
            <w:tcW w:w="2778" w:type="dxa"/>
            <w:vAlign w:val="center"/>
          </w:tcPr>
          <w:p w14:paraId="5B2A98C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D2订单域：下单/试算/取消、支付Mock回调、造数脚本</w:t>
            </w:r>
          </w:p>
        </w:tc>
        <w:tc>
          <w:tcPr>
            <w:tcW w:w="2551" w:type="dxa"/>
            <w:vAlign w:val="center"/>
          </w:tcPr>
          <w:p w14:paraId="38EEC8B4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M2客户闭环：下单→支付→订单列表状态正确流转</w:t>
            </w:r>
          </w:p>
        </w:tc>
      </w:tr>
      <w:tr w14:paraId="14764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3AA17AD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第3周</w:t>
            </w:r>
          </w:p>
        </w:tc>
        <w:tc>
          <w:tcPr>
            <w:tcW w:w="2665" w:type="dxa"/>
            <w:vAlign w:val="center"/>
          </w:tcPr>
          <w:p w14:paraId="20755015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调度工作台、计划列表/详情、空管审批台、机长任务台</w:t>
            </w:r>
          </w:p>
        </w:tc>
        <w:tc>
          <w:tcPr>
            <w:tcW w:w="2778" w:type="dxa"/>
            <w:vAlign w:val="center"/>
          </w:tcPr>
          <w:p w14:paraId="136EB10C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D3状态机与调度：接单、方案、申报、审批、下发、资质预检</w:t>
            </w:r>
          </w:p>
        </w:tc>
        <w:tc>
          <w:tcPr>
            <w:tcW w:w="2551" w:type="dxa"/>
            <w:vAlign w:val="center"/>
          </w:tcPr>
          <w:p w14:paraId="5BC46B1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M3调度闭环：一单从待调度走到待起飞、驳回可回退重做</w:t>
            </w:r>
          </w:p>
        </w:tc>
      </w:tr>
      <w:tr w14:paraId="3E867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87F91DA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第4周</w:t>
            </w:r>
          </w:p>
        </w:tc>
        <w:tc>
          <w:tcPr>
            <w:tcW w:w="2665" w:type="dxa"/>
            <w:vAlign w:val="center"/>
          </w:tcPr>
          <w:p w14:paraId="7D3441C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实时跟踪、监控大屏、快进控制面板、告警滚动</w:t>
            </w:r>
          </w:p>
        </w:tc>
        <w:tc>
          <w:tcPr>
            <w:tcW w:w="2778" w:type="dxa"/>
            <w:vAlign w:val="center"/>
          </w:tcPr>
          <w:p w14:paraId="664238F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仿真器多任务tick、轨迹批量写、WebSocket三房间、5种场景注入</w:t>
            </w:r>
          </w:p>
        </w:tc>
        <w:tc>
          <w:tcPr>
            <w:tcW w:w="2551" w:type="dxa"/>
            <w:vAlign w:val="center"/>
          </w:tcPr>
          <w:p w14:paraId="0DB9D4F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M4飞行闭环：起飞→地图飞行→注入偏航红色告警→到点自动送达</w:t>
            </w:r>
          </w:p>
        </w:tc>
      </w:tr>
      <w:tr w14:paraId="5E676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536B96F2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第5周</w:t>
            </w:r>
          </w:p>
        </w:tc>
        <w:tc>
          <w:tcPr>
            <w:tcW w:w="2665" w:type="dxa"/>
            <w:vAlign w:val="center"/>
          </w:tcPr>
          <w:p w14:paraId="46CB1BE4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空域一张图、资源管理、结算、系统管理、驾驶舱ECharts</w:t>
            </w:r>
          </w:p>
        </w:tc>
        <w:tc>
          <w:tcPr>
            <w:tcW w:w="2778" w:type="dxa"/>
            <w:vAlign w:val="center"/>
          </w:tcPr>
          <w:p w14:paraId="1309D72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D4/D8/D9：空域/资源CRUD、结算对账、违规处罚、配置日志</w:t>
            </w:r>
          </w:p>
        </w:tc>
        <w:tc>
          <w:tcPr>
            <w:tcW w:w="2551" w:type="dxa"/>
            <w:vAlign w:val="center"/>
          </w:tcPr>
          <w:p w14:paraId="2F836530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M5全功能：28个P0页面全部能开、有数据、动作可用</w:t>
            </w:r>
          </w:p>
        </w:tc>
      </w:tr>
      <w:tr w14:paraId="530E6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0D2DECEC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第6周</w:t>
            </w:r>
          </w:p>
        </w:tc>
        <w:tc>
          <w:tcPr>
            <w:tcW w:w="2665" w:type="dxa"/>
            <w:vAlign w:val="center"/>
          </w:tcPr>
          <w:p w14:paraId="178D877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全链路回归、分辨率适配、空态/错误态补齐、演示彩排</w:t>
            </w:r>
          </w:p>
        </w:tc>
        <w:tc>
          <w:tcPr>
            <w:tcW w:w="2778" w:type="dxa"/>
            <w:vAlign w:val="center"/>
          </w:tcPr>
          <w:p w14:paraId="51AB3894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pytest覆盖率≥70%、批量插轨迹≥1000条压测、接口≤1s、部署脚本</w:t>
            </w:r>
          </w:p>
        </w:tc>
        <w:tc>
          <w:tcPr>
            <w:tcW w:w="2551" w:type="dxa"/>
            <w:vAlign w:val="center"/>
          </w:tcPr>
          <w:p w14:paraId="4C580D3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M6可交付：干净环境一键起系统、动线零卡顿演完</w:t>
            </w:r>
          </w:p>
        </w:tc>
      </w:tr>
      <w:tr w14:paraId="276AC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077" w:type="dxa"/>
            <w:vAlign w:val="center"/>
          </w:tcPr>
          <w:p w14:paraId="21785344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第7-8周</w:t>
            </w:r>
          </w:p>
        </w:tc>
        <w:tc>
          <w:tcPr>
            <w:tcW w:w="2665" w:type="dxa"/>
            <w:vAlign w:val="center"/>
          </w:tcPr>
          <w:p w14:paraId="693AF69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机动缓冲：补漏、性能优化、可选移动端三页、答辩彩排</w:t>
            </w:r>
          </w:p>
        </w:tc>
        <w:tc>
          <w:tcPr>
            <w:tcW w:w="2778" w:type="dxa"/>
            <w:vAlign w:val="center"/>
          </w:tcPr>
          <w:p w14:paraId="794A3214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  <w:tc>
          <w:tcPr>
            <w:tcW w:w="2551" w:type="dxa"/>
            <w:vAlign w:val="center"/>
          </w:tcPr>
          <w:p w14:paraId="247F9FAE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—</w:t>
            </w:r>
          </w:p>
        </w:tc>
      </w:tr>
    </w:tbl>
    <w:p w14:paraId="06C7EF01">
      <w:pPr>
        <w:rPr>
          <w:rFonts w:hint="eastAsia"/>
          <w:b/>
          <w:lang w:val="en-US" w:eastAsia="zh-CN"/>
        </w:rPr>
      </w:pPr>
    </w:p>
    <w:p w14:paraId="4B15B816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风险分析与应对措施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2EE3A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0915D2D5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风险项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6E3824E2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风险描述</w:t>
            </w:r>
          </w:p>
        </w:tc>
        <w:tc>
          <w:tcPr>
            <w:tcW w:w="4989" w:type="dxa"/>
            <w:shd w:val="clear" w:color="auto" w:fill="D9D9D9"/>
            <w:vAlign w:val="center"/>
          </w:tcPr>
          <w:p w14:paraId="277CA689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应对措施</w:t>
            </w:r>
          </w:p>
        </w:tc>
      </w:tr>
      <w:tr w14:paraId="39709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12A404C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范围失控</w:t>
            </w:r>
          </w:p>
        </w:tc>
        <w:tc>
          <w:tcPr>
            <w:tcW w:w="2608" w:type="dxa"/>
            <w:vAlign w:val="center"/>
          </w:tcPr>
          <w:p w14:paraId="11B71BE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计划书功能范围大（80-100页原型），两人在2个月内难以全部完成</w:t>
            </w:r>
          </w:p>
        </w:tc>
        <w:tc>
          <w:tcPr>
            <w:tcW w:w="4989" w:type="dxa"/>
            <w:vAlign w:val="center"/>
          </w:tcPr>
          <w:p w14:paraId="2FEFB8D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按P0/P1/P2分级：先保</w:t>
            </w:r>
            <w:r>
              <w:rPr>
                <w:rFonts w:hint="eastAsia"/>
                <w:color w:val="000000"/>
                <w:sz w:val="21"/>
                <w:lang w:eastAsia="zh-CN"/>
              </w:rPr>
              <w:t>“</w:t>
            </w:r>
            <w:r>
              <w:rPr>
                <w:color w:val="000000"/>
                <w:sz w:val="21"/>
              </w:rPr>
              <w:t>申请—审批—调度—监控—结算”主干闭环，P2只做页面壳；连续两周偏移时砍P1（维保/排班/应急预留），P0闭环绝不让位</w:t>
            </w:r>
          </w:p>
        </w:tc>
      </w:tr>
      <w:tr w14:paraId="274684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9786CF4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前后端联调阻塞</w:t>
            </w:r>
          </w:p>
        </w:tc>
        <w:tc>
          <w:tcPr>
            <w:tcW w:w="2608" w:type="dxa"/>
            <w:vAlign w:val="center"/>
          </w:tcPr>
          <w:p w14:paraId="08BB77AF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双人并行开发，接口不一致导致互相等待</w:t>
            </w:r>
          </w:p>
        </w:tc>
        <w:tc>
          <w:tcPr>
            <w:tcW w:w="4989" w:type="dxa"/>
            <w:vAlign w:val="center"/>
          </w:tcPr>
          <w:p w14:paraId="4586102F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接口先行：每周一后端先给出接口URL/入参/出参JSON样例，前端用AxiosMock先行开发；Git每日集成、每天对表15分钟</w:t>
            </w:r>
          </w:p>
        </w:tc>
      </w:tr>
      <w:tr w14:paraId="71C0D9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55C48B2A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实时性实现难度</w:t>
            </w:r>
          </w:p>
        </w:tc>
        <w:tc>
          <w:tcPr>
            <w:tcW w:w="2608" w:type="dxa"/>
            <w:vAlign w:val="center"/>
          </w:tcPr>
          <w:p w14:paraId="7E22369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轨迹推送、告警推送对实时性要求高</w:t>
            </w:r>
          </w:p>
        </w:tc>
        <w:tc>
          <w:tcPr>
            <w:tcW w:w="4989" w:type="dxa"/>
            <w:vAlign w:val="center"/>
          </w:tcPr>
          <w:p w14:paraId="61CC3D9E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采用Flask-SocketIO四类报文推送；断线自动降级2s轮询兜底；轨迹批量写入用executemany提升性能</w:t>
            </w:r>
          </w:p>
        </w:tc>
      </w:tr>
      <w:tr w14:paraId="486F91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243E345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数据库性能风险</w:t>
            </w:r>
          </w:p>
        </w:tc>
        <w:tc>
          <w:tcPr>
            <w:tcW w:w="2608" w:type="dxa"/>
            <w:vAlign w:val="center"/>
          </w:tcPr>
          <w:p w14:paraId="450E789A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飞行轨迹点海量增长，查询变慢</w:t>
            </w:r>
          </w:p>
        </w:tc>
        <w:tc>
          <w:tcPr>
            <w:tcW w:w="4989" w:type="dxa"/>
            <w:vAlign w:val="center"/>
          </w:tcPr>
          <w:p w14:paraId="4C92A27A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flight_track按月RANGE分区，在线保留2个月后整月归档；建立复合索引；移动端查询用Douglas-Peucker抽稀</w:t>
            </w:r>
          </w:p>
        </w:tc>
      </w:tr>
      <w:tr w14:paraId="0F1F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E5D8392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外部系统依赖</w:t>
            </w:r>
          </w:p>
        </w:tc>
        <w:tc>
          <w:tcPr>
            <w:tcW w:w="2608" w:type="dxa"/>
            <w:vAlign w:val="center"/>
          </w:tcPr>
          <w:p w14:paraId="42FFF81E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空管UTM、气象、支付、GCS真实接口不可得</w:t>
            </w:r>
          </w:p>
        </w:tc>
        <w:tc>
          <w:tcPr>
            <w:tcW w:w="4989" w:type="dxa"/>
            <w:vAlign w:val="center"/>
          </w:tcPr>
          <w:p w14:paraId="43F1372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全部Mock，统一走adapter适配层，将来接真系统只换adapter，业务代码不动</w:t>
            </w:r>
          </w:p>
        </w:tc>
      </w:tr>
      <w:tr w14:paraId="0D98F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0517E2A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坐标与地图合规</w:t>
            </w:r>
          </w:p>
        </w:tc>
        <w:tc>
          <w:tcPr>
            <w:tcW w:w="2608" w:type="dxa"/>
            <w:vAlign w:val="center"/>
          </w:tcPr>
          <w:p w14:paraId="3A2450F9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坐标混用导致定位偏差</w:t>
            </w:r>
          </w:p>
        </w:tc>
        <w:tc>
          <w:tcPr>
            <w:tcW w:w="4989" w:type="dxa"/>
            <w:vAlign w:val="center"/>
          </w:tcPr>
          <w:p w14:paraId="34A5CE4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全链路统一GCJ-02（高德坐标），禁止混入WGS-84；演示坐标用高德拾取器核准</w:t>
            </w:r>
          </w:p>
        </w:tc>
      </w:tr>
      <w:tr w14:paraId="616253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AA875D7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数据安全</w:t>
            </w:r>
          </w:p>
        </w:tc>
        <w:tc>
          <w:tcPr>
            <w:tcW w:w="2608" w:type="dxa"/>
            <w:vAlign w:val="center"/>
          </w:tcPr>
          <w:p w14:paraId="5ADFFDDF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手机号、身份证等敏感信息泄露</w:t>
            </w:r>
          </w:p>
        </w:tc>
        <w:tc>
          <w:tcPr>
            <w:tcW w:w="4989" w:type="dxa"/>
            <w:vAlign w:val="center"/>
          </w:tcPr>
          <w:p w14:paraId="2088CC1A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密码BCrypt、敏感字段AES密文存储、手机号另存HMAC摘要做唯一索引、出参统一脱敏</w:t>
            </w:r>
          </w:p>
        </w:tc>
      </w:tr>
      <w:tr w14:paraId="0171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6B7135D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环境前置缺失</w:t>
            </w:r>
          </w:p>
        </w:tc>
        <w:tc>
          <w:tcPr>
            <w:tcW w:w="2608" w:type="dxa"/>
            <w:vAlign w:val="center"/>
          </w:tcPr>
          <w:p w14:paraId="575C942A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本机MySQLroot密码、高德Key白名单未配置</w:t>
            </w:r>
          </w:p>
        </w:tc>
        <w:tc>
          <w:tcPr>
            <w:tcW w:w="4989" w:type="dxa"/>
            <w:vAlign w:val="center"/>
          </w:tcPr>
          <w:p w14:paraId="538457F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列入开工前清点项，W1开工当天必须就绪，否则影响DDL实跑与地图联调</w:t>
            </w:r>
          </w:p>
        </w:tc>
      </w:tr>
    </w:tbl>
    <w:p w14:paraId="0036F1E2">
      <w:pPr>
        <w:rPr>
          <w:rFonts w:hint="eastAsia"/>
          <w:b/>
          <w:lang w:val="en-US" w:eastAsia="zh-CN"/>
        </w:rPr>
      </w:pPr>
    </w:p>
    <w:p w14:paraId="614F1EEB">
      <w:pPr>
        <w:rPr>
          <w:rFonts w:hint="eastAsia"/>
          <w:b/>
          <w:lang w:val="en-US" w:eastAsia="zh-CN"/>
        </w:rPr>
      </w:pPr>
    </w:p>
    <w:p w14:paraId="0ADFD342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系统架构与模块设计</w:t>
      </w:r>
    </w:p>
    <w:p w14:paraId="0D4DB967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整体架构概述</w:t>
      </w:r>
    </w:p>
    <w:p w14:paraId="1919C4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eastAsia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本项目采用前后端分离的模块化单体架构，整体分为接入层、应用层、数据层与外部Mock适配层，各层职责独立、低耦合。接入层：PCWeb端基于Vue3+TypeScript+Vite+ElementPlus+ECharts+高德JSAPI，一套工程内含客户门户与管控台两套布局，登录后按角色分流，移动端（后期）基于UniApp复刻核心三页；应用层：后端采用Flask模块化单体，按领域拆分为D1–D9九个蓝图（认证账号、订单、调度/飞行任务、低空资源、空域合规、实时监控与仿真、应急客服、统计报表、系统配置），由JWT/RBAC装饰器、统一响应、APScheduler、Flask-SocketIO、marshmallow等横切组件支撑；数据层：MySQL8.0业务库（flight_track按月RANGE分区）+Redis（Token、设备在线心跳、空域缓存、WS广播）；外部Mock适配层：UTM空管、气象、支付、GCS全部以假实现接入，统一走adapter适配层，为替换真实系统预留接口。三层通过REST/JSON接口（请求头Device-Type区分PC/移动端字段裁剪）与WebSocket完成数据交互，业务逻辑只写一份，代码复用率≥80%。系统架构图如图3-1所示。</w:t>
      </w:r>
    </w:p>
    <w:p w14:paraId="4448D9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</w:p>
    <w:p w14:paraId="3FA0D9F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center"/>
        <w:textAlignment w:val="auto"/>
      </w:pPr>
      <w:r>
        <w:drawing>
          <wp:inline distT="0" distB="0" distL="114300" distR="114300">
            <wp:extent cx="5219700" cy="3434080"/>
            <wp:effectExtent l="0" t="0" r="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3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7B8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center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图3-1系统架构</w:t>
      </w:r>
      <w:r>
        <w:rPr>
          <w:rFonts w:hint="eastAsia" w:eastAsia="宋体" w:cs="Times New Roman"/>
          <w:kern w:val="0"/>
          <w:sz w:val="21"/>
          <w:szCs w:val="21"/>
          <w:lang w:val="en-US" w:eastAsia="zh-CN" w:bidi="ar"/>
        </w:rPr>
        <w:t>图</w:t>
      </w:r>
    </w:p>
    <w:p w14:paraId="2B3DC3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0" w:firstLineChars="0"/>
        <w:jc w:val="left"/>
        <w:textAlignment w:val="auto"/>
        <w:rPr>
          <w:rFonts w:hint="default"/>
          <w:lang w:val="en-US" w:eastAsia="zh-CN"/>
        </w:rPr>
      </w:pPr>
    </w:p>
    <w:p w14:paraId="16BEE6D0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功能模块设计</w:t>
      </w:r>
    </w:p>
    <w:p w14:paraId="4E85C9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eastAsia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前端划分为七大模块（账号与权限管理、订单全流程管理、低空资源管理、空域合规运营、数据统计与报表、应急与客服管理、系统配置），管控台设8个一级菜单，共41个页面/视图，其中P0共28个；后端划分为9大领域蓝图，与前端模块、数据表、代表API建立完整映射契约。数据库共35张表，覆盖用户组织（RBAC）、低空资源、业务流转（订单/飞行计划/结算）、空域监控、支撑体系五大领域分组，初始种子数据含9角色、32权限点、3个演示账号及温州3空域、2场站、2飞行器。核心状态机设计：订单轨（待支付→待接单→待调度→待审批→待起飞→飞行中→已送达→已完成）与飞行计划轨（待申报→待审批→已批准→待执行→执行中→已完成→归档）严格1:1绑定，由D3服务层统一驱动；驳回即回退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待调度”重报，拒单/起飞前取消/应急终止进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已取消”并触发Mock退款。功能结构如图3-2所示。</w:t>
      </w:r>
    </w:p>
    <w:p w14:paraId="528D12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</w:p>
    <w:p w14:paraId="0444D11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</w:p>
    <w:p w14:paraId="587F6037">
      <w:pPr>
        <w:jc w:val="center"/>
      </w:pPr>
      <w:r>
        <w:drawing>
          <wp:inline distT="0" distB="0" distL="114300" distR="114300">
            <wp:extent cx="5219700" cy="2863215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63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4876">
      <w:pPr>
        <w:jc w:val="center"/>
      </w:pPr>
      <w:r>
        <w:rPr>
          <w:b w:val="0"/>
          <w:color w:val="000000"/>
          <w:sz w:val="21"/>
        </w:rPr>
        <w:t>图3-2功能结构图</w:t>
      </w:r>
    </w:p>
    <w:p w14:paraId="54814866">
      <w:pPr>
        <w:pStyle w:val="3"/>
        <w:numPr>
          <w:ilvl w:val="1"/>
          <w:numId w:val="4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业务流程梳理</w:t>
      </w:r>
    </w:p>
    <w:p w14:paraId="579D900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eastAsia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订单全流程（主链路）：客户登录门户→选择寄收点、物品与时效（系统校验服务空域并试算费用）→确认下单并Mock支付→商家接单（自动/手动，拒单需填写原因）→调度员在调度工作台生成方案（自动匹配人/机/场、规划航线并做合规预检）→保存并提交飞行计划申报→空管/管理员审批（通过或驳回回退重报）→通过后下发机长→机长起飞确认→仿真器按航线1帧/秒推算坐标与电量，WebSocket推送轨迹至双端→实时监控（航迹比对、电子围栏、偏航/闯区/低电量/失联/天气异常触发告警）→机长送达确认→系统自动结算→客户评价/投诉，订单归档。异常处理流程：飞行中出现偏航/闯入禁飞区/失联/故障→系统记录违规并分级告警（一般/严重/紧急）→紧急告警强弹窗并就近调度资源→处置后恢复飞行；无法恢复时应急终止，触发Mock退款与违规留痕，订单进入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已取消”。</w:t>
      </w:r>
    </w:p>
    <w:p w14:paraId="51EB254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default" w:eastAsia="宋体" w:cs="Times New Roman"/>
          <w:kern w:val="0"/>
          <w:sz w:val="24"/>
          <w:szCs w:val="24"/>
          <w:lang w:val="en-US" w:eastAsia="zh-CN" w:bidi="ar"/>
        </w:rPr>
      </w:pPr>
    </w:p>
    <w:p w14:paraId="409FE0A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80" w:firstLineChars="200"/>
        <w:jc w:val="left"/>
        <w:textAlignment w:val="auto"/>
        <w:rPr>
          <w:rFonts w:hint="eastAsia" w:eastAsia="宋体" w:cs="Times New Roman"/>
          <w:kern w:val="0"/>
          <w:sz w:val="24"/>
          <w:szCs w:val="24"/>
          <w:lang w:val="en-US" w:eastAsia="zh-CN" w:bidi="ar"/>
        </w:rPr>
      </w:pPr>
    </w:p>
    <w:p w14:paraId="64254F5A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技术选型与论证</w:t>
      </w:r>
    </w:p>
    <w:p w14:paraId="67DDC995">
      <w:pPr>
        <w:pStyle w:val="3"/>
        <w:numPr>
          <w:ilvl w:val="1"/>
          <w:numId w:val="5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模块相关技术选型</w:t>
      </w:r>
    </w:p>
    <w:p w14:paraId="5DCEEC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eastAsia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本项目技术选型如下表所示：</w:t>
      </w:r>
    </w:p>
    <w:tbl>
      <w:tblPr>
        <w:tblStyle w:val="1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3080"/>
        <w:gridCol w:w="3080"/>
      </w:tblGrid>
      <w:tr w14:paraId="644DD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474" w:type="dxa"/>
            <w:shd w:val="clear" w:color="auto" w:fill="D9D9D9"/>
            <w:vAlign w:val="center"/>
          </w:tcPr>
          <w:p w14:paraId="572AD8D6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层次</w:t>
            </w:r>
          </w:p>
        </w:tc>
        <w:tc>
          <w:tcPr>
            <w:tcW w:w="3061" w:type="dxa"/>
            <w:shd w:val="clear" w:color="auto" w:fill="D9D9D9"/>
            <w:vAlign w:val="center"/>
          </w:tcPr>
          <w:p w14:paraId="4F5973D9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选型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1CD02A0B">
            <w:pPr>
              <w:ind w:firstLine="0" w:firstLineChars="0"/>
              <w:jc w:val="center"/>
            </w:pPr>
            <w:r>
              <w:rPr>
                <w:b/>
                <w:color w:val="000000"/>
                <w:sz w:val="21"/>
              </w:rPr>
              <w:t>说明</w:t>
            </w:r>
          </w:p>
        </w:tc>
      </w:tr>
      <w:tr w14:paraId="0DBDB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6974585A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前端框架</w:t>
            </w:r>
          </w:p>
        </w:tc>
        <w:tc>
          <w:tcPr>
            <w:tcW w:w="3061" w:type="dxa"/>
            <w:vAlign w:val="center"/>
          </w:tcPr>
          <w:p w14:paraId="6AC0A466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Vue3+TypeScript+Vite+ElementPlus</w:t>
            </w:r>
          </w:p>
        </w:tc>
        <w:tc>
          <w:tcPr>
            <w:tcW w:w="4535" w:type="dxa"/>
            <w:vAlign w:val="center"/>
          </w:tcPr>
          <w:p w14:paraId="508F44E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组件化开发、TS类型约束、Vite构建快，适合两人快速搭建PC管控台与门户</w:t>
            </w:r>
          </w:p>
        </w:tc>
      </w:tr>
      <w:tr w14:paraId="1DED2B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2B4C0C5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前端可视化</w:t>
            </w:r>
          </w:p>
        </w:tc>
        <w:tc>
          <w:tcPr>
            <w:tcW w:w="3061" w:type="dxa"/>
            <w:vAlign w:val="center"/>
          </w:tcPr>
          <w:p w14:paraId="3D84BAE3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ECharts+高德JSAPI</w:t>
            </w:r>
          </w:p>
        </w:tc>
        <w:tc>
          <w:tcPr>
            <w:tcW w:w="4535" w:type="dxa"/>
            <w:vAlign w:val="center"/>
          </w:tcPr>
          <w:p w14:paraId="7088E95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ECharts支撑数据大屏；高德支撑空域多边形渲染、实时轨迹绘制、逆地理编码（GCJ-02）</w:t>
            </w:r>
          </w:p>
        </w:tc>
      </w:tr>
      <w:tr w14:paraId="387EA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D8B0BB7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移动端</w:t>
            </w:r>
          </w:p>
        </w:tc>
        <w:tc>
          <w:tcPr>
            <w:tcW w:w="3061" w:type="dxa"/>
            <w:vAlign w:val="center"/>
          </w:tcPr>
          <w:p w14:paraId="32EB71C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UniApp+uView（后期）</w:t>
            </w:r>
          </w:p>
        </w:tc>
        <w:tc>
          <w:tcPr>
            <w:tcW w:w="4535" w:type="dxa"/>
            <w:vAlign w:val="center"/>
          </w:tcPr>
          <w:p w14:paraId="5033409B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跨端复用，后期复刻客户下单/订单/跟踪三页</w:t>
            </w:r>
          </w:p>
        </w:tc>
      </w:tr>
      <w:tr w14:paraId="19831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7DF879F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后端框架</w:t>
            </w:r>
          </w:p>
        </w:tc>
        <w:tc>
          <w:tcPr>
            <w:tcW w:w="3061" w:type="dxa"/>
            <w:vAlign w:val="center"/>
          </w:tcPr>
          <w:p w14:paraId="471DFBE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Flask3+SQLAlchemy2.0</w:t>
            </w:r>
          </w:p>
        </w:tc>
        <w:tc>
          <w:tcPr>
            <w:tcW w:w="4535" w:type="dxa"/>
            <w:vAlign w:val="center"/>
          </w:tcPr>
          <w:p w14:paraId="27EF5D2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模块化单体，蓝图按领域拆分，轻量高效、上手快，适合课程项目规模</w:t>
            </w:r>
          </w:p>
        </w:tc>
      </w:tr>
      <w:tr w14:paraId="7E659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7A4815A8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认证与权限</w:t>
            </w:r>
          </w:p>
        </w:tc>
        <w:tc>
          <w:tcPr>
            <w:tcW w:w="3061" w:type="dxa"/>
            <w:vAlign w:val="center"/>
          </w:tcPr>
          <w:p w14:paraId="448D0CD1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Flask-JWT-Extended+RBAC</w:t>
            </w:r>
          </w:p>
        </w:tc>
        <w:tc>
          <w:tcPr>
            <w:tcW w:w="4535" w:type="dxa"/>
            <w:vAlign w:val="center"/>
          </w:tcPr>
          <w:p w14:paraId="3652E11E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JWT登录（PC8h/移动2h），RBAC角色权限树，接口级权限装饰器</w:t>
            </w:r>
          </w:p>
        </w:tc>
      </w:tr>
      <w:tr w14:paraId="682F60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DDD81DF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实时通道</w:t>
            </w:r>
          </w:p>
        </w:tc>
        <w:tc>
          <w:tcPr>
            <w:tcW w:w="3061" w:type="dxa"/>
            <w:vAlign w:val="center"/>
          </w:tcPr>
          <w:p w14:paraId="746DDDF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Flask-SocketIO+Redis</w:t>
            </w:r>
          </w:p>
        </w:tc>
        <w:tc>
          <w:tcPr>
            <w:tcW w:w="4535" w:type="dxa"/>
            <w:vAlign w:val="center"/>
          </w:tcPr>
          <w:p w14:paraId="02AEBEE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轨迹/告警/大屏实时推送；设备心跳走Redis过期Key</w:t>
            </w:r>
          </w:p>
        </w:tc>
      </w:tr>
      <w:tr w14:paraId="02262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FAEE0BA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定时与缓存</w:t>
            </w:r>
          </w:p>
        </w:tc>
        <w:tc>
          <w:tcPr>
            <w:tcW w:w="3061" w:type="dxa"/>
            <w:vAlign w:val="center"/>
          </w:tcPr>
          <w:p w14:paraId="733EC2DB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APScheduler+Redis</w:t>
            </w:r>
          </w:p>
        </w:tc>
        <w:tc>
          <w:tcPr>
            <w:tcW w:w="4535" w:type="dxa"/>
            <w:vAlign w:val="center"/>
          </w:tcPr>
          <w:p w14:paraId="2F88E47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仿真器每秒tick、缓存空域数据、token管理</w:t>
            </w:r>
          </w:p>
        </w:tc>
      </w:tr>
      <w:tr w14:paraId="0626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107D3CE0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参数校验</w:t>
            </w:r>
          </w:p>
        </w:tc>
        <w:tc>
          <w:tcPr>
            <w:tcW w:w="3061" w:type="dxa"/>
            <w:vAlign w:val="center"/>
          </w:tcPr>
          <w:p w14:paraId="65FCFBE8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marshmallow</w:t>
            </w:r>
          </w:p>
        </w:tc>
        <w:tc>
          <w:tcPr>
            <w:tcW w:w="4535" w:type="dxa"/>
            <w:vAlign w:val="center"/>
          </w:tcPr>
          <w:p w14:paraId="100D1399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双Schema裁剪（PC/Mobile），请求校验与出参脱敏</w:t>
            </w:r>
          </w:p>
        </w:tc>
      </w:tr>
      <w:tr w14:paraId="68F3A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2B67C564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数据库</w:t>
            </w:r>
          </w:p>
        </w:tc>
        <w:tc>
          <w:tcPr>
            <w:tcW w:w="3061" w:type="dxa"/>
            <w:vAlign w:val="center"/>
          </w:tcPr>
          <w:p w14:paraId="492F5593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MySQL8.0</w:t>
            </w:r>
          </w:p>
        </w:tc>
        <w:tc>
          <w:tcPr>
            <w:tcW w:w="4535" w:type="dxa"/>
            <w:vAlign w:val="center"/>
          </w:tcPr>
          <w:p w14:paraId="27C7798D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业务数据持久化；轨迹表按月RANGE分区；敏感字段加密存储</w:t>
            </w:r>
          </w:p>
        </w:tc>
      </w:tr>
      <w:tr w14:paraId="4222F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474" w:type="dxa"/>
            <w:vAlign w:val="center"/>
          </w:tcPr>
          <w:p w14:paraId="0962EF96">
            <w:pPr>
              <w:ind w:firstLine="0" w:firstLineChars="0"/>
              <w:jc w:val="center"/>
            </w:pPr>
            <w:r>
              <w:rPr>
                <w:color w:val="000000"/>
                <w:sz w:val="21"/>
              </w:rPr>
              <w:t>外部系统</w:t>
            </w:r>
          </w:p>
        </w:tc>
        <w:tc>
          <w:tcPr>
            <w:tcW w:w="3061" w:type="dxa"/>
            <w:vAlign w:val="center"/>
          </w:tcPr>
          <w:p w14:paraId="43382E67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全部Mock（adapter适配层）</w:t>
            </w:r>
          </w:p>
        </w:tc>
        <w:tc>
          <w:tcPr>
            <w:tcW w:w="4535" w:type="dxa"/>
            <w:vAlign w:val="center"/>
          </w:tcPr>
          <w:p w14:paraId="7C7B5F22">
            <w:pPr>
              <w:ind w:firstLine="0" w:firstLineChars="0"/>
              <w:jc w:val="left"/>
            </w:pPr>
            <w:r>
              <w:rPr>
                <w:color w:val="000000"/>
                <w:sz w:val="21"/>
              </w:rPr>
              <w:t>UTM/气象/支付/GCS假实现，预留真实接口</w:t>
            </w:r>
          </w:p>
        </w:tc>
      </w:tr>
    </w:tbl>
    <w:p w14:paraId="042E7AC5">
      <w:pPr>
        <w:ind w:left="0" w:leftChars="0" w:firstLine="420" w:firstLineChars="200"/>
      </w:pPr>
      <w:r>
        <w:rPr>
          <w:b w:val="0"/>
          <w:color w:val="000000"/>
        </w:rPr>
        <w:t>选型论证：计划书原方案为JavaSpringBoot+SQLServer体系，经团队评审并与课程验收口径核对（验收无语言硬性要求）后，调整为Flask+Vue+MySQL轻量技术栈。理由：两人规模下Flask模块化单体开发效率高、部署简单；Vue3生态成熟，可复用高德/ECharts成熟组件；MySQL的RANGE分区可满足轨迹海量存储需求；整体更贴合课程项目6周工期与交付要求，同时通过模块化设计预留了未来拆分微服务的能力。</w:t>
      </w:r>
    </w:p>
    <w:p w14:paraId="55D0228C">
      <w:pPr>
        <w:pStyle w:val="3"/>
        <w:numPr>
          <w:ilvl w:val="1"/>
          <w:numId w:val="5"/>
        </w:numPr>
        <w:bidi w:val="0"/>
        <w:ind w:left="0" w:leftChars="0" w:firstLine="0" w:firstLineChars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技术难点与解决思路</w:t>
      </w:r>
    </w:p>
    <w:p w14:paraId="082664B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default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1.海量飞行轨迹的存储与查询：轨迹点按秒级持续产生，数据量大。解决思路：flight_track独立大表，复合主键(id,track_time)，按月RANGE分区，在线保留2个月后整月归档；建(plan_id,track_time)与(aircraft_id,track_time)复合索引；移动端查询经Douglas-Peucker抽稀降低带宽消耗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2.实时轨迹与告警推送：多端需同步看到飞机位置、电量与告警。解决思路：仿真器内嵌Flask，由APScheduler每秒tick，沿航点Haversine插值推算坐标与电量，统一写入flight_track后经WebSocket推送（track.frame/plan.status/alert.violation/overview.rollup四类报文）；断线降级2s轮询兜底；真机与仿真共用/tracks/batch上报入口（source区分），未来可平滑替换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3.飞行仿真器实现：无真实无人机可用。解决思路：自建仿真器支持单任务到多任务并发tick，支持×60快进与偏航/闯区/低电量/失联/天气5种场景注入，违规自动检测写入violation_record，用于演示与测试。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4.多角色权限严格隔离：涉及9角色32权限点。解决思路：统一user表+RBAC；DDL权限点=路由meta.perm，登录后后端返回权限树驱动前端动态菜单；后端接口级@perm装饰器校验；商家数据强制merchant_id隔离，越权直接403。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5.状态一致性：订单与飞行计划双轨状态易被各端改乱。解决思路：状态机唯一入口收敛在D3service层，任何端只能调动作接口（approve/takeoff/land…），禁止直接UPDATE状态字段；非法跳转用单元测试守护。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6.外部系统依赖不可得：UTM、气象、支付、GCS无真实接口。解决思路：全部Mock，统一经adapter适配层访问，将来只换adapter不改业务代码；坐标全链路统一GCJ-02防止偏差。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7.敏感数据安全：手机号、身份证、支付信息需保护。解决思路：密码仅BCrypt；手机号/邮箱/身份证AES密文存储+手机号另存HMAC-SHA256摘要列做唯一索引；API出参统一脱敏；防SQL注入与XSS，连续输错密码锁定账户。</w:t>
      </w:r>
    </w:p>
    <w:p w14:paraId="44C64875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总结与反思</w:t>
      </w:r>
    </w:p>
    <w:p w14:paraId="6E30D56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ind w:firstLine="420" w:firstLineChars="200"/>
        <w:jc w:val="left"/>
        <w:textAlignment w:val="auto"/>
        <w:rPr>
          <w:rFonts w:hint="default" w:eastAsia="宋体" w:cs="Times New Roman"/>
          <w:color w:val="FF0000"/>
          <w:kern w:val="0"/>
          <w:sz w:val="24"/>
          <w:szCs w:val="24"/>
          <w:lang w:val="en-US" w:eastAsia="zh-CN" w:bidi="ar"/>
        </w:rPr>
      </w:pPr>
      <w:r>
        <w:rPr>
          <w:b w:val="0"/>
          <w:color w:val="000000"/>
        </w:rPr>
        <w:t>过程复盘：本项目遵循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需求分析→系统设计→数据库设计→前端信息架构→Mock与仿真方案→排期”的完整软件工程流程推进。需求阶段以计划书为基准完成规范化需求梳理，形成7大功能模块与全生命周期业务闭环；设计阶段通过多轮设计评审，锁定了27项关键决策（技术栈、架构形态、状态机、分区策略、Mock方案、排期等），并产出模块映射契约、E-R图、DDL脚本、页面清单等成套设计文档，为后续开发奠定了可执行、可追溯的基准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实践中的问题：一是计划书原始方案（SpringBoot/SQLServer）与团队技术栈、工期存在错配，通过评审论证后果断调整，说明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需求驱动选型”而非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照搬方案”的重要性；二是两人并行开发下接口一致性与状态机唯一性容易失控，通过</w:t>
      </w:r>
      <w:r>
        <w:rPr>
          <w:rFonts w:hint="eastAsia"/>
          <w:b w:val="0"/>
          <w:color w:val="000000"/>
          <w:lang w:eastAsia="zh-CN"/>
        </w:rPr>
        <w:t>“</w:t>
      </w:r>
      <w:r>
        <w:rPr>
          <w:b w:val="0"/>
          <w:color w:val="000000"/>
        </w:rPr>
        <w:t>接口先行+契约文档+每日对表+Git集成”机制约束；三是轨迹大数据与实时推送是课程项目中的高阶难点，通过分区表、抽稀算法、WebSocket与断线降级等工程手段逐一化解。</w:t>
      </w:r>
      <w:r>
        <w:rPr>
          <w:b w:val="0"/>
          <w:color w:val="000000"/>
        </w:rPr>
        <w:br w:type="textWrapping"/>
      </w:r>
      <w:r>
        <w:rPr>
          <w:b w:val="0"/>
          <w:color w:val="000000"/>
        </w:rPr>
        <w:t>收获：通过本阶段实践，掌握了从需求分析、系统设计到数据库建模、排期管理的完整软件工程方法；加深了对RBAC权限体系、状态机设计、实时通信、数据分区等技术的理解；同时认识到明确分工、文档沉淀与里程碑验收对小型团队项目按期交付的关键作用。下一阶段将进入工程初始化，正式启动前后端开发。</w:t>
      </w:r>
    </w:p>
    <w:p w14:paraId="367512B3">
      <w:pPr>
        <w:spacing w:before="0" w:after="0" w:line="360" w:lineRule="auto"/>
        <w:rPr>
          <w:rFonts w:eastAsia="黑体"/>
          <w:sz w:val="28"/>
          <w:szCs w:val="28"/>
        </w:rPr>
      </w:pPr>
    </w:p>
    <w:p w14:paraId="445B2ACE">
      <w:pPr>
        <w:spacing w:before="0" w:after="0" w:line="360" w:lineRule="auto"/>
        <w:rPr>
          <w:rFonts w:eastAsia="黑体"/>
          <w:sz w:val="28"/>
          <w:szCs w:val="28"/>
        </w:rPr>
      </w:pPr>
    </w:p>
    <w:p w14:paraId="7885E923">
      <w:pPr>
        <w:spacing w:before="0" w:after="0" w:line="360" w:lineRule="auto"/>
        <w:rPr>
          <w:rFonts w:eastAsia="黑体"/>
          <w:sz w:val="28"/>
          <w:szCs w:val="28"/>
        </w:rPr>
      </w:pPr>
    </w:p>
    <w:p w14:paraId="444DEEC8">
      <w:pPr>
        <w:spacing w:before="0" w:after="0" w:line="360" w:lineRule="auto"/>
        <w:rPr>
          <w:rFonts w:eastAsia="黑体"/>
          <w:sz w:val="28"/>
          <w:szCs w:val="28"/>
        </w:rPr>
      </w:pPr>
    </w:p>
    <w:p w14:paraId="7CCE4D4A">
      <w:pPr>
        <w:spacing w:before="0" w:after="0" w:line="360" w:lineRule="auto"/>
        <w:rPr>
          <w:rFonts w:eastAsia="黑体"/>
          <w:sz w:val="28"/>
          <w:szCs w:val="28"/>
        </w:rPr>
      </w:pPr>
    </w:p>
    <w:p w14:paraId="0B0DB113">
      <w:pPr>
        <w:widowControl/>
        <w:spacing w:before="0" w:after="0"/>
        <w:jc w:val="left"/>
        <w:rPr>
          <w:rFonts w:ascii="宋体" w:hAnsi="宋体"/>
          <w:sz w:val="24"/>
          <w:szCs w:val="24"/>
        </w:rPr>
      </w:pPr>
    </w:p>
    <w:sectPr>
      <w:headerReference r:id="rId4" w:type="default"/>
      <w:pgSz w:w="11906" w:h="16838"/>
      <w:pgMar w:top="1247" w:right="1247" w:bottom="1247" w:left="1418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151794">
    <w:pPr>
      <w:pStyle w:val="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5873BB"/>
    <w:multiLevelType w:val="multilevel"/>
    <w:tmpl w:val="935873BB"/>
    <w:lvl w:ilvl="0" w:tentative="0">
      <w:start w:val="3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BBEECAB1"/>
    <w:multiLevelType w:val="multilevel"/>
    <w:tmpl w:val="BBEECAB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2">
    <w:nsid w:val="FEFBB808"/>
    <w:multiLevelType w:val="singleLevel"/>
    <w:tmpl w:val="FEFBB80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FFF8255"/>
    <w:multiLevelType w:val="multilevel"/>
    <w:tmpl w:val="FFFF8255"/>
    <w:lvl w:ilvl="0" w:tentative="0">
      <w:start w:val="2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2E2D5A91"/>
    <w:multiLevelType w:val="multilevel"/>
    <w:tmpl w:val="2E2D5A91"/>
    <w:lvl w:ilvl="0" w:tentative="0">
      <w:start w:val="5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BmZDM2ZDlmZjdiZmIyZTc0OWMyYzllMDVhM2NmM2MifQ=="/>
  </w:docVars>
  <w:rsids>
    <w:rsidRoot w:val="DFFFBEE8"/>
    <w:rsid w:val="00006E45"/>
    <w:rsid w:val="00021FB3"/>
    <w:rsid w:val="000379B5"/>
    <w:rsid w:val="0008368F"/>
    <w:rsid w:val="000C3CE1"/>
    <w:rsid w:val="00116C40"/>
    <w:rsid w:val="001466C9"/>
    <w:rsid w:val="00172BEE"/>
    <w:rsid w:val="00186FD6"/>
    <w:rsid w:val="001E4729"/>
    <w:rsid w:val="00213789"/>
    <w:rsid w:val="002323E0"/>
    <w:rsid w:val="00233DBB"/>
    <w:rsid w:val="0027384C"/>
    <w:rsid w:val="00295E19"/>
    <w:rsid w:val="003100BC"/>
    <w:rsid w:val="00340F70"/>
    <w:rsid w:val="00385D1E"/>
    <w:rsid w:val="003B6DAC"/>
    <w:rsid w:val="0044635F"/>
    <w:rsid w:val="004A7556"/>
    <w:rsid w:val="004D1AE7"/>
    <w:rsid w:val="00501E37"/>
    <w:rsid w:val="005A5D42"/>
    <w:rsid w:val="00637E40"/>
    <w:rsid w:val="00642059"/>
    <w:rsid w:val="006E66AB"/>
    <w:rsid w:val="007267A6"/>
    <w:rsid w:val="00780C90"/>
    <w:rsid w:val="007B26FD"/>
    <w:rsid w:val="008763C4"/>
    <w:rsid w:val="008A7543"/>
    <w:rsid w:val="00921977"/>
    <w:rsid w:val="00A704EF"/>
    <w:rsid w:val="00A74EB8"/>
    <w:rsid w:val="00AA51F8"/>
    <w:rsid w:val="00AB1D47"/>
    <w:rsid w:val="00AC1FA8"/>
    <w:rsid w:val="00AE3671"/>
    <w:rsid w:val="00B1546F"/>
    <w:rsid w:val="00B2045F"/>
    <w:rsid w:val="00B301A2"/>
    <w:rsid w:val="00B83A85"/>
    <w:rsid w:val="00C277F6"/>
    <w:rsid w:val="00C33F40"/>
    <w:rsid w:val="00D00AC2"/>
    <w:rsid w:val="00D04A5C"/>
    <w:rsid w:val="00D44C3D"/>
    <w:rsid w:val="00E40D1E"/>
    <w:rsid w:val="00EB5D66"/>
    <w:rsid w:val="00F6065B"/>
    <w:rsid w:val="04620439"/>
    <w:rsid w:val="068D34CF"/>
    <w:rsid w:val="092C1016"/>
    <w:rsid w:val="09581E0B"/>
    <w:rsid w:val="0AC515BB"/>
    <w:rsid w:val="0B5B06F7"/>
    <w:rsid w:val="0F064F43"/>
    <w:rsid w:val="0F91503B"/>
    <w:rsid w:val="1A3F329F"/>
    <w:rsid w:val="1BF43C15"/>
    <w:rsid w:val="1DF82EDC"/>
    <w:rsid w:val="1F443106"/>
    <w:rsid w:val="21BE719F"/>
    <w:rsid w:val="26C43618"/>
    <w:rsid w:val="27351CB2"/>
    <w:rsid w:val="287F0D0A"/>
    <w:rsid w:val="290336EA"/>
    <w:rsid w:val="2C90764A"/>
    <w:rsid w:val="3397097A"/>
    <w:rsid w:val="36997893"/>
    <w:rsid w:val="38AC5B4C"/>
    <w:rsid w:val="3A0B4AF4"/>
    <w:rsid w:val="3BBF3C8C"/>
    <w:rsid w:val="3C6C27E7"/>
    <w:rsid w:val="3FEE717E"/>
    <w:rsid w:val="408E2474"/>
    <w:rsid w:val="4224672B"/>
    <w:rsid w:val="43A8512D"/>
    <w:rsid w:val="47005B92"/>
    <w:rsid w:val="4829480A"/>
    <w:rsid w:val="4C8A5D4C"/>
    <w:rsid w:val="4EAB387C"/>
    <w:rsid w:val="4F734876"/>
    <w:rsid w:val="539F16F1"/>
    <w:rsid w:val="545F361A"/>
    <w:rsid w:val="5AFD0F62"/>
    <w:rsid w:val="5C1A7ACC"/>
    <w:rsid w:val="5D08603F"/>
    <w:rsid w:val="5FFFE1A6"/>
    <w:rsid w:val="60FF065F"/>
    <w:rsid w:val="621C5CC6"/>
    <w:rsid w:val="65117542"/>
    <w:rsid w:val="69981651"/>
    <w:rsid w:val="6AAF0512"/>
    <w:rsid w:val="6FEA072C"/>
    <w:rsid w:val="737E18B7"/>
    <w:rsid w:val="7FB7506A"/>
    <w:rsid w:val="7FF8E29B"/>
    <w:rsid w:val="7FFDA27F"/>
    <w:rsid w:val="BEB162C9"/>
    <w:rsid w:val="DFFFBEE8"/>
    <w:rsid w:val="EAA36527"/>
    <w:rsid w:val="FD3D1E62"/>
    <w:rsid w:val="FEEFB86C"/>
    <w:rsid w:val="FFCE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120" w:after="12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0"/>
    <w:pPr>
      <w:keepNext/>
      <w:keepLines/>
      <w:spacing w:before="10" w:after="10" w:line="360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0" w:beforeLines="0" w:beforeAutospacing="0" w:after="10" w:afterLines="0" w:afterAutospacing="0" w:line="360" w:lineRule="auto"/>
      <w:outlineLvl w:val="1"/>
    </w:pPr>
    <w:rPr>
      <w:rFonts w:ascii="Times New Roman Bold" w:hAnsi="Times New Roman Bold" w:eastAsia="宋体"/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unhideWhenUsed/>
    <w:qFormat/>
    <w:uiPriority w:val="39"/>
    <w:pPr>
      <w:widowControl/>
      <w:spacing w:before="0"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</w:rPr>
  </w:style>
  <w:style w:type="paragraph" w:styleId="7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nhideWhenUsed/>
    <w:qFormat/>
    <w:uiPriority w:val="39"/>
    <w:pPr>
      <w:widowControl/>
      <w:spacing w:before="0" w:after="100" w:line="259" w:lineRule="auto"/>
      <w:jc w:val="left"/>
    </w:pPr>
    <w:rPr>
      <w:rFonts w:asciiTheme="minorHAnsi" w:hAnsiTheme="minorHAnsi" w:eastAsiaTheme="minorEastAsia"/>
      <w:kern w:val="0"/>
      <w:sz w:val="22"/>
    </w:rPr>
  </w:style>
  <w:style w:type="paragraph" w:styleId="10">
    <w:name w:val="toc 2"/>
    <w:basedOn w:val="1"/>
    <w:next w:val="1"/>
    <w:unhideWhenUsed/>
    <w:qFormat/>
    <w:uiPriority w:val="39"/>
    <w:pPr>
      <w:widowControl/>
      <w:spacing w:before="0"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</w:r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jc w:val="left"/>
    </w:pPr>
    <w:rPr>
      <w:kern w:val="0"/>
      <w:sz w:val="24"/>
    </w:rPr>
  </w:style>
  <w:style w:type="table" w:styleId="13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customStyle="1" w:styleId="16">
    <w:name w:val="页脚 字符"/>
    <w:basedOn w:val="14"/>
    <w:link w:val="7"/>
    <w:qFormat/>
    <w:uiPriority w:val="0"/>
    <w:rPr>
      <w:kern w:val="2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CM34"/>
    <w:basedOn w:val="1"/>
    <w:next w:val="1"/>
    <w:qFormat/>
    <w:uiPriority w:val="0"/>
    <w:pPr>
      <w:autoSpaceDE w:val="0"/>
      <w:autoSpaceDN w:val="0"/>
      <w:adjustRightInd w:val="0"/>
      <w:spacing w:before="0" w:after="655"/>
      <w:jc w:val="left"/>
    </w:pPr>
    <w:rPr>
      <w:rFonts w:ascii="隶书" w:eastAsia="隶书"/>
      <w:kern w:val="0"/>
      <w:sz w:val="24"/>
      <w:szCs w:val="24"/>
    </w:rPr>
  </w:style>
  <w:style w:type="paragraph" w:customStyle="1" w:styleId="19">
    <w:name w:val="列表段落1"/>
    <w:basedOn w:val="1"/>
    <w:qFormat/>
    <w:uiPriority w:val="99"/>
    <w:pPr>
      <w:ind w:firstLine="420" w:firstLineChars="200"/>
    </w:pPr>
  </w:style>
  <w:style w:type="character" w:customStyle="1" w:styleId="20">
    <w:name w:val="标题 1 字符"/>
    <w:basedOn w:val="14"/>
    <w:link w:val="2"/>
    <w:qFormat/>
    <w:uiPriority w:val="0"/>
    <w:rPr>
      <w:rFonts w:eastAsia="宋体"/>
      <w:b/>
      <w:bCs/>
      <w:kern w:val="44"/>
      <w:sz w:val="28"/>
      <w:szCs w:val="44"/>
    </w:rPr>
  </w:style>
  <w:style w:type="paragraph" w:customStyle="1" w:styleId="21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Version="6" StyleName="APA" SelectedStyle="\APASixthEditionOfficeOnline.xsl"/>
</file>

<file path=customXml/itemProps1.xml><?xml version="1.0" encoding="utf-8"?>
<ds:datastoreItem xmlns:ds="http://schemas.openxmlformats.org/officeDocument/2006/customXml" ds:itemID="{A84679BF-214A-493B-B554-06543487DC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3003</Words>
  <Characters>3163</Characters>
  <Lines>6</Lines>
  <Paragraphs>1</Paragraphs>
  <TotalTime>26</TotalTime>
  <ScaleCrop>false</ScaleCrop>
  <LinksUpToDate>false</LinksUpToDate>
  <CharactersWithSpaces>3311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2023-03-07T18:06:00Z</dcterms:created>
  <dc:creator>jiangdingyuan</dc:creator>
  <cp:lastModifiedBy>宗吾</cp:lastModifiedBy>
  <cp:lastPrinted>2022-10-13T19:34:00Z</cp:lastPrinted>
  <dcterms:modified xsi:type="dcterms:W3CDTF">2026-09-21T13:26:45Z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4ED45BC710EAF5E5C6972B6A6C586188_43</vt:lpwstr>
  </property>
  <property fmtid="{D5CDD505-2E9C-101B-9397-08002B2CF9AE}" pid="4" name="KSOTemplateDocerSaveRecord">
    <vt:lpwstr>eyJoZGlkIjoiZjFmZWIzNDg2MmIzZjExOTIzMmViNTBmYTMwYTk0ZWYiLCJ1c2VySWQiOiIxNTYwNDY0MDQ1In0=</vt:lpwstr>
  </property>
</Properties>
</file>