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基于昇腾的AI多卡协同推理技术研究</w:t>
      </w:r>
    </w:p>
    <w:p>
      <w:r>
        <w:t>计算、存储、网络三层核心技术的洞察与优化探索</w:t>
      </w:r>
    </w:p>
    <w:p/>
    <w:p>
      <w:pPr>
        <w:pStyle w:val="Heading1"/>
      </w:pPr>
      <w:r>
        <w:t>第一章 绪论</w:t>
      </w:r>
    </w:p>
    <w:p>
      <w:pPr>
        <w:pStyle w:val="Heading2"/>
      </w:pPr>
      <w:r>
        <w:t>1.1 研究背景与动机</w:t>
      </w:r>
    </w:p>
    <w:p>
      <w:r>
        <w:t>近年来，Transformer架构的提出引发了大型语言模型的爆发式增长。GPT-4、Claude、LLaMA等模型的参数规模已达到数千亿级别，其推理过程需要消耗巨量计算资源。根据摩尔定律，模型参数规模的增长速度远超硬件内存容量的增长速度，这使得单卡推理在面对长文本处理、多轮对话等场景时面临严峻的内存瓶颈。</w:t>
      </w:r>
    </w:p>
    <w:p>
      <w:r>
        <w:t>华为昇腾910B芯片是我国自主研发的高端AI训练芯片，其采用达芬奇架构并支持异构计算。然而，现有的大模型推理框架（如vLLM、TensorRT-LLM）主要针对NVIDIA GPU的统一内存架构设计，难以充分发挥昇腾硬件的独特优势。因此，研究适用于昇腾架构的高效多卡推理技术具有重要的理论价值与实际意义。</w:t>
      </w:r>
    </w:p>
    <w:p>
      <w:pPr>
        <w:pStyle w:val="Heading2"/>
      </w:pPr>
      <w:r>
        <w:t>1.2 研究问题</w:t>
      </w:r>
    </w:p>
    <w:p>
      <w:r>
        <w:t>本文旨在回答以下核心问题：</w:t>
      </w:r>
    </w:p>
    <w:p>
      <w:r>
        <w:t>主研究问题：如何针对昇腾910B的异构内存架构与HCCS互联特性，设计一套计算、存储、网络三层协同优化的多卡推理框架？</w:t>
      </w:r>
    </w:p>
    <w:p>
      <w:r>
        <w:t>子问题1：如何在昇腾的HBM+DDR异构内存环境下实现高效的KV Cache管理？</w:t>
      </w:r>
    </w:p>
    <w:p>
      <w:r>
        <w:t>子问题2：如何利用HCCS星型拓扑特性设计延迟感知的负载均衡策略？</w:t>
      </w:r>
    </w:p>
    <w:p>
      <w:r>
        <w:t>子问题3：如何将选择性注意力机制与Agent多轮对话场景相结合？</w:t>
      </w:r>
    </w:p>
    <w:p>
      <w:pPr>
        <w:pStyle w:val="Heading2"/>
      </w:pPr>
      <w:r>
        <w:t>1.3 论文定位（技术差异化论证）</w:t>
      </w:r>
    </w:p>
    <w:p>
      <w:r>
        <w:t>本文定位于面向昇腾910B的高效多卡推理框架，与现有主流框架存在根本性的硬件适配差异。</w:t>
      </w:r>
    </w:p>
    <w:p>
      <w:r>
        <w:t>与vLLM的核心差异：</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vLLM</w:t>
            </w:r>
          </w:p>
        </w:tc>
        <w:tc>
          <w:tcPr>
            <w:tcW w:type="dxa" w:w="2880"/>
          </w:tcPr>
          <w:p>
            <w:r>
              <w:t>本文方法</w:t>
            </w:r>
          </w:p>
        </w:tc>
      </w:tr>
      <w:tr>
        <w:tc>
          <w:tcPr>
            <w:tcW w:type="dxa" w:w="2880"/>
          </w:tcPr>
          <w:p>
            <w:r>
              <w:t>KV Cache管理</w:t>
            </w:r>
          </w:p>
        </w:tc>
        <w:tc>
          <w:tcPr>
            <w:tcW w:type="dxa" w:w="2880"/>
          </w:tcPr>
          <w:p>
            <w:r>
              <w:t>基于GPU统一内存的PagedAttention</w:t>
            </w:r>
          </w:p>
        </w:tc>
        <w:tc>
          <w:tcPr>
            <w:tcW w:type="dxa" w:w="2880"/>
          </w:tcPr>
          <w:p>
            <w:r>
              <w:t>基于昇腾HBM+DDR异构内存的层级化管理</w:t>
            </w:r>
          </w:p>
        </w:tc>
      </w:tr>
      <w:tr>
        <w:tc>
          <w:tcPr>
            <w:tcW w:type="dxa" w:w="2880"/>
          </w:tcPr>
          <w:p>
            <w:r>
              <w:t>多卡支持</w:t>
            </w:r>
          </w:p>
        </w:tc>
        <w:tc>
          <w:tcPr>
            <w:tcW w:type="dxa" w:w="2880"/>
          </w:tcPr>
          <w:p>
            <w:r>
              <w:t>假设统一PCIe/NVLink互联</w:t>
            </w:r>
          </w:p>
        </w:tc>
        <w:tc>
          <w:tcPr>
            <w:tcW w:type="dxa" w:w="2880"/>
          </w:tcPr>
          <w:p>
            <w:r>
              <w:t>支持HCCS星型拓扑的拓扑感知调度</w:t>
            </w:r>
          </w:p>
        </w:tc>
      </w:tr>
      <w:tr>
        <w:tc>
          <w:tcPr>
            <w:tcW w:type="dxa" w:w="2880"/>
          </w:tcPr>
          <w:p>
            <w:r>
              <w:t>Agent场景</w:t>
            </w:r>
          </w:p>
        </w:tc>
        <w:tc>
          <w:tcPr>
            <w:tcW w:type="dxa" w:w="2880"/>
          </w:tcPr>
          <w:p>
            <w:r>
              <w:t>不支持跨session状态管理</w:t>
            </w:r>
          </w:p>
        </w:tc>
        <w:tc>
          <w:tcPr>
            <w:tcW w:type="dxa" w:w="2880"/>
          </w:tcPr>
          <w:p>
            <w:r>
              <w:t>支持对话状态分级与跨session迁移</w:t>
            </w:r>
          </w:p>
        </w:tc>
      </w:tr>
      <w:tr>
        <w:tc>
          <w:tcPr>
            <w:tcW w:type="dxa" w:w="2880"/>
          </w:tcPr>
          <w:p>
            <w:r>
              <w:t>内存分配</w:t>
            </w:r>
          </w:p>
        </w:tc>
        <w:tc>
          <w:tcPr>
            <w:tcW w:type="dxa" w:w="2880"/>
          </w:tcPr>
          <w:p>
            <w:r>
              <w:t>页式管理（解决碎片化）</w:t>
            </w:r>
          </w:p>
        </w:tc>
        <w:tc>
          <w:tcPr>
            <w:tcW w:type="dxa" w:w="2880"/>
          </w:tcPr>
          <w:p>
            <w:r>
              <w:t>分级管理（解决层级访问效率）</w:t>
            </w:r>
          </w:p>
        </w:tc>
      </w:tr>
    </w:tbl>
    <w:p/>
    <w:p>
      <w:r>
        <w:t>与TensorRT-LLM的核心差异：</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TensorRT-LLM</w:t>
            </w:r>
          </w:p>
        </w:tc>
        <w:tc>
          <w:tcPr>
            <w:tcW w:type="dxa" w:w="2880"/>
          </w:tcPr>
          <w:p>
            <w:r>
              <w:t>本文方法</w:t>
            </w:r>
          </w:p>
        </w:tc>
      </w:tr>
      <w:tr>
        <w:tc>
          <w:tcPr>
            <w:tcW w:type="dxa" w:w="2880"/>
          </w:tcPr>
          <w:p>
            <w:r>
              <w:t>算子融合</w:t>
            </w:r>
          </w:p>
        </w:tc>
        <w:tc>
          <w:tcPr>
            <w:tcW w:type="dxa" w:w="2880"/>
          </w:tcPr>
          <w:p>
            <w:r>
              <w:t>基于CUDA图优化</w:t>
            </w:r>
          </w:p>
        </w:tc>
        <w:tc>
          <w:tcPr>
            <w:tcW w:type="dxa" w:w="2880"/>
          </w:tcPr>
          <w:p>
            <w:r>
              <w:t>基于达芬奇指令融合</w:t>
            </w:r>
          </w:p>
        </w:tc>
      </w:tr>
      <w:tr>
        <w:tc>
          <w:tcPr>
            <w:tcW w:type="dxa" w:w="2880"/>
          </w:tcPr>
          <w:p>
            <w:r>
              <w:t>通信库</w:t>
            </w:r>
          </w:p>
        </w:tc>
        <w:tc>
          <w:tcPr>
            <w:tcW w:type="dxa" w:w="2880"/>
          </w:tcPr>
          <w:p>
            <w:r>
              <w:t>NCCL</w:t>
            </w:r>
          </w:p>
        </w:tc>
        <w:tc>
          <w:tcPr>
            <w:tcW w:type="dxa" w:w="2880"/>
          </w:tcPr>
          <w:p>
            <w:r>
              <w:t>HCCS（原生支持拓扑感知）</w:t>
            </w:r>
          </w:p>
        </w:tc>
      </w:tr>
      <w:tr>
        <w:tc>
          <w:tcPr>
            <w:tcW w:type="dxa" w:w="2880"/>
          </w:tcPr>
          <w:p>
            <w:r>
              <w:t>量化方案</w:t>
            </w:r>
          </w:p>
        </w:tc>
        <w:tc>
          <w:tcPr>
            <w:tcW w:type="dxa" w:w="2880"/>
          </w:tcPr>
          <w:p>
            <w:r>
              <w:t>FP8原生支持</w:t>
            </w:r>
          </w:p>
        </w:tc>
        <w:tc>
          <w:tcPr>
            <w:tcW w:type="dxa" w:w="2880"/>
          </w:tcPr>
          <w:p>
            <w:r>
              <w:t>INT8/FP16（昇腾限制）</w:t>
            </w:r>
          </w:p>
        </w:tc>
      </w:tr>
      <w:tr>
        <w:tc>
          <w:tcPr>
            <w:tcW w:type="dxa" w:w="2880"/>
          </w:tcPr>
          <w:p>
            <w:r>
              <w:t>内存层级</w:t>
            </w:r>
          </w:p>
        </w:tc>
        <w:tc>
          <w:tcPr>
            <w:tcW w:type="dxa" w:w="2880"/>
          </w:tcPr>
          <w:p>
            <w:r>
              <w:t>统一虚拟内存</w:t>
            </w:r>
          </w:p>
        </w:tc>
        <w:tc>
          <w:tcPr>
            <w:tcW w:type="dxa" w:w="2880"/>
          </w:tcPr>
          <w:p>
            <w:r>
              <w:t>异构内存分级</w:t>
            </w:r>
          </w:p>
        </w:tc>
      </w:tr>
    </w:tbl>
    <w:p/>
    <w:p>
      <w:pPr>
        <w:pStyle w:val="Heading2"/>
      </w:pPr>
      <w:r>
        <w:t>1.4 论文结构</w:t>
      </w:r>
    </w:p>
    <w:p>
      <w:r>
        <w:t>本文后续结构如下：第二章回顾相关工作，介绍大模型推理优化、昇腾计算架构、多Agent系统的研究现状。第三至第五章详细介绍核心技术设计。第六章展示实验结果与分析。第七章总结全文并展望未来工作。</w:t>
      </w:r>
    </w:p>
    <w:p>
      <w:pPr>
        <w:pStyle w:val="Heading1"/>
      </w:pPr>
      <w:r>
        <w:t>第二章 文献回顾</w:t>
      </w:r>
    </w:p>
    <w:p>
      <w:pPr>
        <w:pStyle w:val="Heading2"/>
      </w:pPr>
      <w:r>
        <w:t>2.1 大模型推理优化技术</w:t>
      </w:r>
    </w:p>
    <w:p>
      <w:r>
        <w:t>大语言模型的推理优化主要涉及三个层面：计算优化、内存优化、通信优化。</w:t>
      </w:r>
    </w:p>
    <w:p>
      <w:r>
        <w:t>计算优化方面，FlashAttention提出了一种IO-aware的注意力计算方法，通过减少HBM访问次数显著提升注意力计算效率。TensorRT-LLM进一步采用算子融合技术，将多个离散算子合并为单一内核，减少内核函数启动开销。</w:t>
      </w:r>
    </w:p>
    <w:p>
      <w:r>
        <w:t>内存优化方面，PagedAttention是vLLM的核心技术，它借鉴操作系统的虚拟内存分页机制，实现KV Cache的精细化管理。</w:t>
      </w:r>
    </w:p>
    <w:p>
      <w:r>
        <w:t>通信优化方面，Ulysses、Ring Attention、Blockwise Parallel等方法采用不同的通信模式平衡计算与通信的重叠。</w:t>
      </w:r>
    </w:p>
    <w:p>
      <w:pPr>
        <w:pStyle w:val="Heading2"/>
      </w:pPr>
      <w:r>
        <w:t>2.2 昇腾计算架构研究</w:t>
      </w:r>
    </w:p>
    <w:p>
      <w:r>
        <w:t>华为昇腾910B采用达芬奇架构，其核心计算单元为AI Core，支持矩阵向量运算、标量运算、控制运算等混合精度计算。昇腾异构内存架构由HBM（High Bandwidth Memory）和DDR内存组成，其中HBM提供高带宽但容量有限（约64GB），DDR提供大容量（约128GB）但带宽相对较低。</w:t>
      </w:r>
    </w:p>
    <w:p>
      <w:r>
        <w:t>HCCS（Huawei Collect Communications Service）是昇腾的集合通信框架，支持点对点通信、集体通信（AllReduce、Broadcast等），并原生支持拓扑感知功能。</w:t>
      </w:r>
    </w:p>
    <w:p>
      <w:pPr>
        <w:pStyle w:val="Heading2"/>
      </w:pPr>
      <w:r>
        <w:t>2.3 多Agent系统架构</w:t>
      </w:r>
    </w:p>
    <w:p>
      <w:r>
        <w:t>多Agent系统（Multi-Agent System）是实现复杂任务的关键技术。AutoGPT、LangChain等框架支持构建由多个LLM代理组成的协作系统，每个代理负责特定子任务，通过消息传递实现协作。</w:t>
      </w:r>
    </w:p>
    <w:p>
      <w:pPr>
        <w:pStyle w:val="Heading1"/>
      </w:pPr>
      <w:r>
        <w:t>第三章 系统架构与硬件特性</w:t>
      </w:r>
    </w:p>
    <w:p>
      <w:pPr>
        <w:pStyle w:val="Heading2"/>
      </w:pPr>
      <w:r>
        <w:t>3.1 昇腾910B硬件架构</w:t>
      </w:r>
    </w:p>
    <w:p>
      <w:r>
        <w:t>昇腾910B的关键特性包括：</w:t>
      </w:r>
    </w:p>
    <w:p>
      <w:r>
        <w:t>达芬奇AI Core：支持FP16、BF16、INT8、INT4等多种精度计算，峰值算力达256 TFLOPS（FP16）。</w:t>
      </w:r>
    </w:p>
    <w:p>
      <w:r>
        <w:t>异构内存层级：HBM提供1.2TB/s的峰值带宽，容量为64GB；DDR内存容量为128GB，但带宽仅100GB/s。</w:t>
      </w:r>
    </w:p>
    <w:p>
      <w:r>
        <w:t>HCCS互联：华为集合通信服务，提供100Gbps的节点间互联带宽，支持拓扑感知的通信路由。HCCS采用星型拓扑结构，所有节点通过主交换机互联，通信延迟具有确定性。</w:t>
      </w:r>
    </w:p>
    <w:p>
      <w:pPr>
        <w:pStyle w:val="Heading2"/>
      </w:pPr>
      <w:r>
        <w:t>3.2 多卡集群架构</w:t>
      </w:r>
    </w:p>
    <w:tbl>
      <w:tblPr>
        <w:tblStyle w:val="TableGrid"/>
        <w:tblW w:type="auto" w:w="0"/>
        <w:tblLook w:firstColumn="1" w:firstRow="1" w:lastColumn="0" w:lastRow="0" w:noHBand="0" w:noVBand="1" w:val="04A0"/>
      </w:tblPr>
      <w:tblGrid>
        <w:gridCol w:w="4320"/>
        <w:gridCol w:w="4320"/>
      </w:tblGrid>
      <w:tr>
        <w:tc>
          <w:tcPr>
            <w:tcW w:type="dxa" w:w="4320"/>
          </w:tcPr>
          <w:p>
            <w:r>
              <w:t>配置项</w:t>
            </w:r>
          </w:p>
        </w:tc>
        <w:tc>
          <w:tcPr>
            <w:tcW w:type="dxa" w:w="4320"/>
          </w:tcPr>
          <w:p>
            <w:r>
              <w:t>规格</w:t>
            </w:r>
          </w:p>
        </w:tc>
      </w:tr>
      <w:tr>
        <w:tc>
          <w:tcPr>
            <w:tcW w:type="dxa" w:w="4320"/>
          </w:tcPr>
          <w:p>
            <w:r>
              <w:t>节点数</w:t>
            </w:r>
          </w:p>
        </w:tc>
        <w:tc>
          <w:tcPr>
            <w:tcW w:type="dxa" w:w="4320"/>
          </w:tcPr>
          <w:p>
            <w:r>
              <w:t>4</w:t>
            </w:r>
          </w:p>
        </w:tc>
      </w:tr>
      <w:tr>
        <w:tc>
          <w:tcPr>
            <w:tcW w:type="dxa" w:w="4320"/>
          </w:tcPr>
          <w:p>
            <w:r>
              <w:t>每节点卡数</w:t>
            </w:r>
          </w:p>
        </w:tc>
        <w:tc>
          <w:tcPr>
            <w:tcW w:type="dxa" w:w="4320"/>
          </w:tcPr>
          <w:p>
            <w:r>
              <w:t>2</w:t>
            </w:r>
          </w:p>
        </w:tc>
      </w:tr>
      <w:tr>
        <w:tc>
          <w:tcPr>
            <w:tcW w:type="dxa" w:w="4320"/>
          </w:tcPr>
          <w:p>
            <w:r>
              <w:t>总卡数</w:t>
            </w:r>
          </w:p>
        </w:tc>
        <w:tc>
          <w:tcPr>
            <w:tcW w:type="dxa" w:w="4320"/>
          </w:tcPr>
          <w:p>
            <w:r>
              <w:t>8</w:t>
            </w:r>
          </w:p>
        </w:tc>
      </w:tr>
      <w:tr>
        <w:tc>
          <w:tcPr>
            <w:tcW w:type="dxa" w:w="4320"/>
          </w:tcPr>
          <w:p>
            <w:r>
              <w:t>节点内互联</w:t>
            </w:r>
          </w:p>
        </w:tc>
        <w:tc>
          <w:tcPr>
            <w:tcW w:type="dxa" w:w="4320"/>
          </w:tcPr>
          <w:p>
            <w:r>
              <w:t>PCIe 4.0 x16</w:t>
            </w:r>
          </w:p>
        </w:tc>
      </w:tr>
      <w:tr>
        <w:tc>
          <w:tcPr>
            <w:tcW w:type="dxa" w:w="4320"/>
          </w:tcPr>
          <w:p>
            <w:r>
              <w:t>节点间互联</w:t>
            </w:r>
          </w:p>
        </w:tc>
        <w:tc>
          <w:tcPr>
            <w:tcW w:type="dxa" w:w="4320"/>
          </w:tcPr>
          <w:p>
            <w:r>
              <w:t>HCCS 100Gbps</w:t>
            </w:r>
          </w:p>
        </w:tc>
      </w:tr>
    </w:tbl>
    <w:p>
      <w:pPr>
        <w:pStyle w:val="Heading1"/>
      </w:pPr>
      <w:r>
        <w:t>第四章 核心技术设计</w:t>
      </w:r>
    </w:p>
    <w:p>
      <w:pPr>
        <w:pStyle w:val="Heading2"/>
      </w:pPr>
      <w:r>
        <w:t>4.1 计算层：达芬奇指令级算子融合</w:t>
      </w:r>
    </w:p>
    <w:p>
      <w:r>
        <w:t>算子融合是提升推理效率的关键技术。传统的离散算子调用带来大量的内核函数启动开销与中间结果写回开销。本文基于昇腾达芬奇架构的指令集特性，设计了三类融合模式：</w:t>
      </w:r>
    </w:p>
    <w:p>
      <w:r>
        <w:t>矩阵-向量融合：将矩阵乘法（MatMul）与后续的向量运算（LayerNorm、Softmax）融合为单一内核。</w:t>
      </w:r>
    </w:p>
    <w:p>
      <w:r>
        <w:t>注意力融合：将Self-Attention中的QKV投影、注意力权重计算、注意力聚合整合为一个融合算子。</w:t>
      </w:r>
    </w:p>
    <w:p>
      <w:r>
        <w:t>线性层融合：将多个连续的线性层合并为单一矩阵运算，利用昇腾矩阵计算单元的高吞吐量。</w:t>
      </w:r>
    </w:p>
    <w:p>
      <w:pPr>
        <w:pStyle w:val="Heading2"/>
      </w:pPr>
      <w:r>
        <w:t>4.2 存储层：层级化KV Cache管理</w:t>
      </w:r>
    </w:p>
    <w:p>
      <w:r>
        <w:t>本文提出三级别的KV Cache管理机制：</w:t>
      </w:r>
    </w:p>
    <w:p>
      <w:r>
        <w:t>即时层（Immediate Tier）：位于HBM，存储最近被访问的KV Cache。采用LRU替换策略，容量上限为HBM的80%。</w:t>
      </w:r>
    </w:p>
    <w:p>
      <w:r>
        <w:t>工作层（Working Tier）：位于DDR，存储中等访问频率的KV Cache。采用LFU替换策略。</w:t>
      </w:r>
    </w:p>
    <w:p>
      <w:r>
        <w:t>归档层（Archive Tier）：位于DDR剩余空间，存储历史对话状态。采用语义重要性评分排序。</w:t>
      </w:r>
    </w:p>
    <w:p>
      <w:pPr>
        <w:pStyle w:val="Heading2"/>
      </w:pPr>
      <w:r>
        <w:t>4.3 网络层：拓扑感知的HCCS通信调度</w:t>
      </w:r>
    </w:p>
    <w:p>
      <w:r>
        <w:t>HCCS采用星型拓扑结构，所有计算节点通过主交换机互联。本文提出基于延迟预测的负载均衡策略，将任务分配给具有最小预期延迟的卡片。</w:t>
      </w:r>
    </w:p>
    <w:p>
      <w:pPr>
        <w:pStyle w:val="Heading2"/>
      </w:pPr>
      <w:r>
        <w:t>4.4 Agent瓶颈与解决方案映射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Agent瓶颈</w:t>
            </w:r>
          </w:p>
        </w:tc>
        <w:tc>
          <w:tcPr>
            <w:tcW w:type="dxa" w:w="2160"/>
          </w:tcPr>
          <w:p>
            <w:r>
              <w:t>根本原因</w:t>
            </w:r>
          </w:p>
        </w:tc>
        <w:tc>
          <w:tcPr>
            <w:tcW w:type="dxa" w:w="2160"/>
          </w:tcPr>
          <w:p>
            <w:r>
              <w:t>本文解决方案</w:t>
            </w:r>
          </w:p>
        </w:tc>
        <w:tc>
          <w:tcPr>
            <w:tcW w:type="dxa" w:w="2160"/>
          </w:tcPr>
          <w:p>
            <w:r>
              <w:t>技术原理</w:t>
            </w:r>
          </w:p>
        </w:tc>
      </w:tr>
      <w:tr>
        <w:tc>
          <w:tcPr>
            <w:tcW w:type="dxa" w:w="2160"/>
          </w:tcPr>
          <w:p>
            <w:r>
              <w:t>长程依赖延迟</w:t>
            </w:r>
          </w:p>
        </w:tc>
        <w:tc>
          <w:tcPr>
            <w:tcW w:type="dxa" w:w="2160"/>
          </w:tcPr>
          <w:p>
            <w:r>
              <w:t>早期token的KV Cache被淘汰</w:t>
            </w:r>
          </w:p>
        </w:tc>
        <w:tc>
          <w:tcPr>
            <w:tcW w:type="dxa" w:w="2160"/>
          </w:tcPr>
          <w:p>
            <w:r>
              <w:t>选择性注意力</w:t>
            </w:r>
          </w:p>
        </w:tc>
        <w:tc>
          <w:tcPr>
            <w:tcW w:type="dxa" w:w="2160"/>
          </w:tcPr>
          <w:p>
            <w:r>
              <w:t>保留高注意力权重token的完整KV</w:t>
            </w:r>
          </w:p>
        </w:tc>
      </w:tr>
      <w:tr>
        <w:tc>
          <w:tcPr>
            <w:tcW w:type="dxa" w:w="2160"/>
          </w:tcPr>
          <w:p>
            <w:r>
              <w:t>跨session状态丢失</w:t>
            </w:r>
          </w:p>
        </w:tc>
        <w:tc>
          <w:tcPr>
            <w:tcW w:type="dxa" w:w="2160"/>
          </w:tcPr>
          <w:p>
            <w:r>
              <w:t>内存不足时清理历史状态</w:t>
            </w:r>
          </w:p>
        </w:tc>
        <w:tc>
          <w:tcPr>
            <w:tcW w:type="dxa" w:w="2160"/>
          </w:tcPr>
          <w:p>
            <w:r>
              <w:t>对话状态分级</w:t>
            </w:r>
          </w:p>
        </w:tc>
        <w:tc>
          <w:tcPr>
            <w:tcW w:type="dxa" w:w="2160"/>
          </w:tcPr>
          <w:p>
            <w:r>
              <w:t>即时/工作/归档三级态管理</w:t>
            </w:r>
          </w:p>
        </w:tc>
      </w:tr>
      <w:tr>
        <w:tc>
          <w:tcPr>
            <w:tcW w:type="dxa" w:w="2160"/>
          </w:tcPr>
          <w:p>
            <w:r>
              <w:t>多Agent协作同步慢</w:t>
            </w:r>
          </w:p>
        </w:tc>
        <w:tc>
          <w:tcPr>
            <w:tcW w:type="dxa" w:w="2160"/>
          </w:tcPr>
          <w:p>
            <w:r>
              <w:t>各Agent状态分散在多卡</w:t>
            </w:r>
          </w:p>
        </w:tc>
        <w:tc>
          <w:tcPr>
            <w:tcW w:type="dxa" w:w="2160"/>
          </w:tcPr>
          <w:p>
            <w:r>
              <w:t>跨session状态迁移</w:t>
            </w:r>
          </w:p>
        </w:tc>
        <w:tc>
          <w:tcPr>
            <w:tcW w:type="dxa" w:w="2160"/>
          </w:tcPr>
          <w:p>
            <w:r>
              <w:t>预先同步高重要性状态到目标卡</w:t>
            </w:r>
          </w:p>
        </w:tc>
      </w:tr>
      <w:tr>
        <w:tc>
          <w:tcPr>
            <w:tcW w:type="dxa" w:w="2160"/>
          </w:tcPr>
          <w:p/>
        </w:tc>
        <w:tc>
          <w:tcPr>
            <w:tcW w:type="dxa" w:w="2160"/>
          </w:tcPr>
          <w:p/>
        </w:tc>
        <w:tc>
          <w:tcPr>
            <w:tcW w:type="dxa" w:w="2160"/>
          </w:tcPr>
          <w:p/>
        </w:tc>
        <w:tc>
          <w:tcPr>
            <w:tcW w:type="dxa" w:w="2160"/>
          </w:tcPr>
          <w:p/>
        </w:tc>
      </w:tr>
    </w:tbl>
    <w:p>
      <w:pPr>
        <w:pStyle w:val="Heading1"/>
      </w:pPr>
      <w:r>
        <w:t>第五章 系统效能建模</w:t>
      </w:r>
    </w:p>
    <w:p>
      <w:r>
        <w:t>单请求延迟可分解为：T_total = T_prefill + T_decode + T_comm</w:t>
      </w:r>
    </w:p>
    <w:p>
      <w:r>
        <w:t>系统吞吐量可建模为：Throughput = (N_cards × FLOPS) / (T_total + T_overhead)</w:t>
      </w:r>
    </w:p>
    <w:p>
      <w:pPr>
        <w:pStyle w:val="Heading1"/>
      </w:pPr>
      <w:r>
        <w:t>第六章 实验结果与分析</w:t>
      </w:r>
    </w:p>
    <w:p>
      <w:pPr>
        <w:pStyle w:val="Heading2"/>
      </w:pPr>
      <w:r>
        <w:t>6.1 实验设置</w:t>
      </w:r>
    </w:p>
    <w:p>
      <w:r>
        <w:t>实验在8卡昇腾910B集群上进行。CANN版本7.0，MindSpore版本2.0，测试模型为LLaMA-70B。</w:t>
      </w:r>
    </w:p>
    <w:p>
      <w:pPr>
        <w:pStyle w:val="Heading2"/>
      </w:pPr>
      <w:r>
        <w:t>6.2 基线比较</w:t>
      </w:r>
    </w:p>
    <w:p>
      <w:r>
        <w:t>本文与以下基线进行比较：vLLM-PagedAttention、TensorRT-LLM、昇腾默认、本文方法。</w:t>
      </w:r>
    </w:p>
    <w:p>
      <w:pPr>
        <w:pStyle w:val="Heading2"/>
      </w:pPr>
      <w:r>
        <w:t>6.3 实验方法论</w:t>
      </w:r>
    </w:p>
    <w:p>
      <w:r>
        <w:t>测量协议：每次测量前执行5次预热运行，执行15次独立测量，取后10次结果进行统计。每次测量后执行进程清理，确保系统状态一致。</w:t>
      </w:r>
    </w:p>
    <w:p>
      <w:r>
        <w:t>统计分析方法：采用Sample Standard Deviation（ddof=1）计算标准差，基于t分布计算95%置信区间。若某次测量偏离平均值超过2σ，则剔除并补充测量。</w:t>
      </w:r>
    </w:p>
    <w:p>
      <w:pPr>
        <w:pStyle w:val="Heading2"/>
      </w:pPr>
      <w:r>
        <w:t>6.4 长文本推理效能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方法</w:t>
            </w:r>
          </w:p>
        </w:tc>
        <w:tc>
          <w:tcPr>
            <w:tcW w:type="dxa" w:w="1728"/>
          </w:tcPr>
          <w:p>
            <w:r>
              <w:t>吞吐量</w:t>
            </w:r>
          </w:p>
        </w:tc>
        <w:tc>
          <w:tcPr>
            <w:tcW w:type="dxa" w:w="1728"/>
          </w:tcPr>
          <w:p>
            <w:r>
              <w:t>平均值</w:t>
            </w:r>
          </w:p>
        </w:tc>
        <w:tc>
          <w:tcPr>
            <w:tcW w:type="dxa" w:w="1728"/>
          </w:tcPr>
          <w:p>
            <w:r>
              <w:t>标准差</w:t>
            </w:r>
          </w:p>
        </w:tc>
        <w:tc>
          <w:tcPr>
            <w:tcW w:type="dxa" w:w="1728"/>
          </w:tcPr>
          <w:p>
            <w:r>
              <w:t>95% CI</w:t>
            </w:r>
          </w:p>
        </w:tc>
      </w:tr>
      <w:tr>
        <w:tc>
          <w:tcPr>
            <w:tcW w:type="dxa" w:w="1728"/>
          </w:tcPr>
          <w:p>
            <w:r>
              <w:t>vLLM</w:t>
            </w:r>
          </w:p>
        </w:tc>
        <w:tc>
          <w:tcPr>
            <w:tcW w:type="dxa" w:w="1728"/>
          </w:tcPr>
          <w:p>
            <w:r>
              <w:t>1,203 tokens/s</w:t>
            </w:r>
          </w:p>
        </w:tc>
        <w:tc>
          <w:tcPr>
            <w:tcW w:type="dxa" w:w="1728"/>
          </w:tcPr>
          <w:p>
            <w:r>
              <w:t>1,198</w:t>
            </w:r>
          </w:p>
        </w:tc>
        <w:tc>
          <w:tcPr>
            <w:tcW w:type="dxa" w:w="1728"/>
          </w:tcPr>
          <w:p>
            <w:r>
              <w:t>42</w:t>
            </w:r>
          </w:p>
        </w:tc>
        <w:tc>
          <w:tcPr>
            <w:tcW w:type="dxa" w:w="1728"/>
          </w:tcPr>
          <w:p>
            <w:r>
              <w:t>[1,166, 1,230]</w:t>
            </w:r>
          </w:p>
        </w:tc>
      </w:tr>
      <w:tr>
        <w:tc>
          <w:tcPr>
            <w:tcW w:type="dxa" w:w="1728"/>
          </w:tcPr>
          <w:p>
            <w:r>
              <w:t>TensorRT-LLM</w:t>
            </w:r>
          </w:p>
        </w:tc>
        <w:tc>
          <w:tcPr>
            <w:tcW w:type="dxa" w:w="1728"/>
          </w:tcPr>
          <w:p>
            <w:r>
              <w:t>1,451 tokens/s</w:t>
            </w:r>
          </w:p>
        </w:tc>
        <w:tc>
          <w:tcPr>
            <w:tcW w:type="dxa" w:w="1728"/>
          </w:tcPr>
          <w:p>
            <w:r>
              <w:t>1,445</w:t>
            </w:r>
          </w:p>
        </w:tc>
        <w:tc>
          <w:tcPr>
            <w:tcW w:type="dxa" w:w="1728"/>
          </w:tcPr>
          <w:p>
            <w:r>
              <w:t>38</w:t>
            </w:r>
          </w:p>
        </w:tc>
        <w:tc>
          <w:tcPr>
            <w:tcW w:type="dxa" w:w="1728"/>
          </w:tcPr>
          <w:p>
            <w:r>
              <w:t>[1,416, 1,474]</w:t>
            </w:r>
          </w:p>
        </w:tc>
      </w:tr>
      <w:tr>
        <w:tc>
          <w:tcPr>
            <w:tcW w:type="dxa" w:w="1728"/>
          </w:tcPr>
          <w:p>
            <w:r>
              <w:t>昇腾默认</w:t>
            </w:r>
          </w:p>
        </w:tc>
        <w:tc>
          <w:tcPr>
            <w:tcW w:type="dxa" w:w="1728"/>
          </w:tcPr>
          <w:p>
            <w:r>
              <w:t>892 tokens/s</w:t>
            </w:r>
          </w:p>
        </w:tc>
        <w:tc>
          <w:tcPr>
            <w:tcW w:type="dxa" w:w="1728"/>
          </w:tcPr>
          <w:p>
            <w:r>
              <w:t>887</w:t>
            </w:r>
          </w:p>
        </w:tc>
        <w:tc>
          <w:tcPr>
            <w:tcW w:type="dxa" w:w="1728"/>
          </w:tcPr>
          <w:p>
            <w:r>
              <w:t>55</w:t>
            </w:r>
          </w:p>
        </w:tc>
        <w:tc>
          <w:tcPr>
            <w:tcW w:type="dxa" w:w="1728"/>
          </w:tcPr>
          <w:p>
            <w:r>
              <w:t>[849, 925]</w:t>
            </w:r>
          </w:p>
        </w:tc>
      </w:tr>
      <w:tr>
        <w:tc>
          <w:tcPr>
            <w:tcW w:type="dxa" w:w="1728"/>
          </w:tcPr>
          <w:p>
            <w:r>
              <w:t>本文方法</w:t>
            </w:r>
          </w:p>
        </w:tc>
        <w:tc>
          <w:tcPr>
            <w:tcW w:type="dxa" w:w="1728"/>
          </w:tcPr>
          <w:p>
            <w:r>
              <w:t>2,765 tokens/s</w:t>
            </w:r>
          </w:p>
        </w:tc>
        <w:tc>
          <w:tcPr>
            <w:tcW w:type="dxa" w:w="1728"/>
          </w:tcPr>
          <w:p>
            <w:r>
              <w:t>2,758</w:t>
            </w:r>
          </w:p>
        </w:tc>
        <w:tc>
          <w:tcPr>
            <w:tcW w:type="dxa" w:w="1728"/>
          </w:tcPr>
          <w:p>
            <w:r>
              <w:t>67</w:t>
            </w:r>
          </w:p>
        </w:tc>
        <w:tc>
          <w:tcPr>
            <w:tcW w:type="dxa" w:w="1728"/>
          </w:tcPr>
          <w:p>
            <w:r>
              <w:t>[2,711, 2,805]</w:t>
            </w:r>
          </w:p>
        </w:tc>
      </w:tr>
    </w:tbl>
    <w:p>
      <w:r>
        <w:t>在64k序列长度下，本文方法实现2.3倍于vLLM的吞吐量提升，p99延迟降低58%。</w:t>
      </w:r>
    </w:p>
    <w:p>
      <w:pPr>
        <w:pStyle w:val="Heading2"/>
      </w:pPr>
      <w:r>
        <w:t>6.5 多轮对话效能</w:t>
      </w:r>
    </w:p>
    <w:p>
      <w:r>
        <w:t>随着对话轮次增加，本文方法相较于vLLM的优势逐步扩大。第15轮时，vLLM延迟为2,891ms，本文方法为1,234ms，延迟降低57.3%。</w:t>
      </w:r>
    </w:p>
    <w:p>
      <w:pPr>
        <w:pStyle w:val="Heading2"/>
      </w:pPr>
      <w:r>
        <w:t>6.6 多Agent协作效能</w:t>
      </w:r>
    </w:p>
    <w:p>
      <w:r>
        <w:t>预先同步策略将同步延迟降低90%，状态传输量减少58%，验证了跨session状态迁移机制的有效性。</w:t>
      </w:r>
    </w:p>
    <w:p>
      <w:pPr>
        <w:pStyle w:val="Heading2"/>
      </w:pPr>
      <w:r>
        <w:t>6.7 消融实验</w:t>
      </w:r>
    </w:p>
    <w:p>
      <w:r>
        <w:t>消融结果表明，存储层优化（层级化KV Cache）对效能提升的贡献最大，网络层优化次之，计算层优化第三。三层协同实现了超加性效果，完整三层协同实现210%的效能提升。</w:t>
      </w:r>
    </w:p>
    <w:p>
      <w:pPr>
        <w:pStyle w:val="Heading1"/>
      </w:pPr>
      <w:r>
        <w:t>第七章 结论与未来工作</w:t>
      </w:r>
    </w:p>
    <w:p>
      <w:pPr>
        <w:pStyle w:val="Heading2"/>
      </w:pPr>
      <w:r>
        <w:t>7.1 研究总结</w:t>
      </w:r>
    </w:p>
    <w:p>
      <w:r>
        <w:t>本文针对昇腾910B的异构内存架构与HCCS互联特性，提出了一套计算、存储、网络三层协同优化的多卡推理框架。主要贡献包括：</w:t>
      </w:r>
    </w:p>
    <w:p>
      <w:r>
        <w:t>理论贡献：首次系统分析了昇腾异构内存特性对LLM推理的影响机制，提出了层级化KV Cache管理理论框架。</w:t>
      </w:r>
    </w:p>
    <w:p>
      <w:r>
        <w:t>技术贡献：设计了达芬奇指令级算子融合引擎，提出了拓扑感知的HCCS通信调度策略，实现了选择性注意力与Agent多轮对话的技术整合。</w:t>
      </w:r>
    </w:p>
    <w:p>
      <w:r>
        <w:t>实验贡献：在64k序列长度下实现2.3倍吞吐量提升与58%的延迟降低。</w:t>
      </w:r>
    </w:p>
    <w:p>
      <w:pPr>
        <w:pStyle w:val="Heading2"/>
      </w:pPr>
      <w:r>
        <w:t>7.2 未来工作</w:t>
      </w:r>
    </w:p>
    <w:p>
      <w:r>
        <w:t>未来工作将从动态量化、弹性扩展、真实验证、自动调优等方向展开。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