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E624">
      <w:pPr>
        <w:snapToGrid w:val="0"/>
        <w:spacing w:line="480" w:lineRule="auto"/>
        <w:rPr>
          <w:rFonts w:hint="eastAsia" w:eastAsia="仿宋_GB2312"/>
          <w:color w:val="000000"/>
          <w:sz w:val="32"/>
          <w:szCs w:val="32"/>
        </w:rPr>
      </w:pPr>
      <w:r>
        <w:rPr>
          <w:rFonts w:hint="eastAsia" w:eastAsia="仿宋_GB2312"/>
          <w:color w:val="000000"/>
          <w:sz w:val="32"/>
          <w:szCs w:val="32"/>
        </w:rPr>
        <w:t xml:space="preserve"> </w:t>
      </w:r>
    </w:p>
    <w:p w14:paraId="186D1589">
      <w:pPr>
        <w:snapToGrid w:val="0"/>
        <w:spacing w:line="480" w:lineRule="auto"/>
        <w:jc w:val="center"/>
        <w:rPr>
          <w:rFonts w:hint="eastAsia" w:eastAsia="宋体"/>
          <w:color w:val="000000"/>
          <w:lang w:eastAsia="zh-CN"/>
        </w:rPr>
      </w:pPr>
      <w:r>
        <w:rPr>
          <w:rFonts w:hint="eastAsia" w:eastAsia="宋体"/>
          <w:color w:val="000000"/>
          <w:lang w:eastAsia="zh-CN"/>
        </w:rPr>
        <w:drawing>
          <wp:inline distT="0" distB="0" distL="114300" distR="114300">
            <wp:extent cx="4469765" cy="991235"/>
            <wp:effectExtent l="0" t="0" r="10160" b="1905"/>
            <wp:docPr id="2" name="图片 2" descr="标志与中英文名称的组合规范（横式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标志与中英文名称的组合规范（横式）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D7D">
      <w:pPr>
        <w:snapToGrid w:val="0"/>
        <w:spacing w:line="480" w:lineRule="auto"/>
        <w:ind w:firstLine="1368" w:firstLineChars="380"/>
        <w:jc w:val="center"/>
        <w:rPr>
          <w:rFonts w:hint="eastAsia" w:ascii="黑体" w:eastAsia="黑体"/>
          <w:color w:val="000000"/>
          <w:sz w:val="36"/>
        </w:rPr>
      </w:pPr>
    </w:p>
    <w:p w14:paraId="6B2D249D">
      <w:pPr>
        <w:snapToGrid w:val="0"/>
        <w:spacing w:line="720" w:lineRule="exact"/>
        <w:jc w:val="center"/>
        <w:rPr>
          <w:rFonts w:hint="eastAsia" w:ascii="宋体" w:hAnsi="宋体"/>
          <w:b/>
          <w:bCs/>
          <w:color w:val="000000"/>
          <w:sz w:val="72"/>
        </w:rPr>
      </w:pPr>
      <w:r>
        <w:rPr>
          <w:rFonts w:hint="eastAsia" w:ascii="宋体" w:hAnsi="宋体"/>
          <w:color w:val="000000"/>
          <w:sz w:val="72"/>
        </w:rPr>
        <w:t>毕业设计开题报告</w:t>
      </w:r>
      <w:bookmarkStart w:id="0" w:name="_GoBack"/>
      <w:bookmarkEnd w:id="0"/>
    </w:p>
    <w:p w14:paraId="1EB60753">
      <w:pPr>
        <w:snapToGrid w:val="0"/>
        <w:spacing w:line="720" w:lineRule="exact"/>
        <w:ind w:firstLine="1928" w:firstLineChars="600"/>
        <w:rPr>
          <w:rFonts w:hint="eastAsia"/>
          <w:b/>
          <w:bCs/>
          <w:color w:val="000000"/>
          <w:sz w:val="32"/>
        </w:rPr>
      </w:pPr>
    </w:p>
    <w:p w14:paraId="6EDC5340">
      <w:pPr>
        <w:snapToGrid w:val="0"/>
        <w:spacing w:line="720" w:lineRule="exact"/>
        <w:ind w:firstLine="1928" w:firstLineChars="600"/>
        <w:rPr>
          <w:rFonts w:hint="eastAsia"/>
          <w:b/>
          <w:bCs/>
          <w:color w:val="000000"/>
          <w:sz w:val="32"/>
        </w:rPr>
      </w:pPr>
    </w:p>
    <w:p w14:paraId="56E9EE34">
      <w:pPr>
        <w:spacing w:line="360" w:lineRule="auto"/>
        <w:ind w:left="1064" w:leftChars="400" w:right="-4" w:hanging="224" w:hangingChars="70"/>
        <w:rPr>
          <w:rFonts w:hint="eastAsia" w:ascii="宋体" w:hAnsi="宋体"/>
          <w:color w:val="000000"/>
          <w:sz w:val="32"/>
          <w:u w:val="single"/>
        </w:rPr>
      </w:pPr>
      <w:r>
        <w:rPr>
          <w:rFonts w:hint="eastAsia" w:ascii="宋体" w:hAnsi="宋体"/>
          <w:color w:val="000000"/>
          <w:sz w:val="32"/>
        </w:rPr>
        <w:t>课题名称:</w:t>
      </w:r>
      <w:r>
        <w:rPr>
          <w:rFonts w:hint="eastAsia" w:ascii="宋体" w:hAnsi="宋体"/>
          <w:color w:val="00000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sz w:val="32"/>
          <w:u w:val="single"/>
          <w:lang w:val="en-US" w:eastAsia="zh-CN"/>
        </w:rPr>
        <w:t xml:space="preserve">  企业级日志管理系统的设计与实现</w:t>
      </w:r>
      <w:r>
        <w:rPr>
          <w:rFonts w:hint="eastAsia" w:ascii="宋体" w:hAnsi="宋体"/>
          <w:color w:val="00000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color w:val="000000"/>
          <w:sz w:val="32"/>
          <w:u w:val="single"/>
        </w:rPr>
        <w:t xml:space="preserve"> </w:t>
      </w:r>
    </w:p>
    <w:p w14:paraId="4226D94F">
      <w:pPr>
        <w:spacing w:line="360" w:lineRule="auto"/>
        <w:ind w:left="1065" w:leftChars="507" w:right="-4" w:firstLine="112" w:firstLineChars="35"/>
        <w:rPr>
          <w:rFonts w:hint="eastAsia" w:ascii="宋体" w:hAnsi="宋体"/>
          <w:color w:val="000000"/>
          <w:sz w:val="32"/>
          <w:u w:val="single"/>
        </w:rPr>
      </w:pPr>
    </w:p>
    <w:p w14:paraId="2A2E0135">
      <w:pPr>
        <w:spacing w:line="360" w:lineRule="auto"/>
        <w:ind w:left="1065" w:leftChars="507" w:right="-4" w:firstLine="112" w:firstLineChars="35"/>
        <w:rPr>
          <w:rFonts w:hint="eastAsia" w:ascii="宋体" w:hAnsi="宋体"/>
          <w:color w:val="000000"/>
          <w:sz w:val="32"/>
          <w:u w:val="single"/>
        </w:rPr>
      </w:pPr>
    </w:p>
    <w:p w14:paraId="65DCDD5F">
      <w:pPr>
        <w:spacing w:line="360" w:lineRule="auto"/>
        <w:ind w:left="840" w:leftChars="0" w:right="-4" w:firstLine="420" w:firstLineChars="0"/>
        <w:rPr>
          <w:rFonts w:hint="eastAsia" w:ascii="宋体" w:hAnsi="宋体"/>
          <w:color w:val="000000"/>
          <w:sz w:val="32"/>
          <w:u w:val="single"/>
        </w:rPr>
      </w:pPr>
    </w:p>
    <w:p w14:paraId="09E0ED18">
      <w:pPr>
        <w:pStyle w:val="2"/>
        <w:ind w:left="0" w:leftChars="0" w:firstLine="840" w:firstLineChars="300"/>
        <w:rPr>
          <w:rFonts w:hint="eastAsia"/>
          <w:color w:val="000000"/>
          <w:sz w:val="28"/>
          <w:szCs w:val="28"/>
          <w:u w:val="single"/>
        </w:rPr>
      </w:pPr>
      <w:r>
        <w:rPr>
          <w:rFonts w:hint="eastAsia"/>
          <w:color w:val="000000"/>
          <w:sz w:val="28"/>
          <w:szCs w:val="28"/>
        </w:rPr>
        <w:t>二级学院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/>
          <w:color w:val="000000"/>
          <w:sz w:val="28"/>
          <w:szCs w:val="28"/>
          <w:u w:val="single"/>
        </w:rPr>
        <w:t xml:space="preserve"> 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>人工智能学院</w:t>
      </w:r>
      <w:r>
        <w:rPr>
          <w:rFonts w:hint="eastAsia"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/>
          <w:color w:val="000000"/>
          <w:sz w:val="28"/>
          <w:szCs w:val="28"/>
          <w:u w:val="single"/>
        </w:rPr>
        <w:t xml:space="preserve">  </w:t>
      </w:r>
    </w:p>
    <w:p w14:paraId="755B3813">
      <w:pPr>
        <w:pStyle w:val="2"/>
        <w:ind w:left="0" w:leftChars="0" w:firstLine="840" w:firstLineChars="30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专     业 </w:t>
      </w:r>
      <w:r>
        <w:rPr>
          <w:rFonts w:hint="eastAsia"/>
          <w:color w:val="000000"/>
          <w:sz w:val="28"/>
          <w:szCs w:val="28"/>
          <w:u w:val="single"/>
        </w:rPr>
        <w:t xml:space="preserve">   云计算技术应用         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color w:val="000000"/>
          <w:sz w:val="28"/>
          <w:szCs w:val="28"/>
          <w:u w:val="single"/>
        </w:rPr>
        <w:t xml:space="preserve">      </w:t>
      </w:r>
    </w:p>
    <w:p w14:paraId="1687FC99">
      <w:pPr>
        <w:pStyle w:val="2"/>
        <w:ind w:left="0" w:leftChars="0"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</w:rPr>
        <w:t xml:space="preserve">班     级 </w:t>
      </w:r>
      <w:r>
        <w:rPr>
          <w:rFonts w:hint="eastAsia"/>
          <w:color w:val="000000"/>
          <w:sz w:val="28"/>
          <w:szCs w:val="28"/>
          <w:u w:val="single"/>
        </w:rPr>
        <w:t xml:space="preserve">   云计算2301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color w:val="000000"/>
          <w:sz w:val="28"/>
          <w:szCs w:val="28"/>
          <w:u w:val="single"/>
        </w:rPr>
        <w:t xml:space="preserve">       </w:t>
      </w:r>
    </w:p>
    <w:p w14:paraId="53D0A2E3">
      <w:pPr>
        <w:pStyle w:val="2"/>
        <w:ind w:left="0" w:leftChars="0" w:firstLine="840" w:firstLineChars="30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姓     名 </w:t>
      </w:r>
      <w:r>
        <w:rPr>
          <w:rFonts w:hint="eastAsia"/>
          <w:color w:val="000000"/>
          <w:sz w:val="28"/>
          <w:szCs w:val="28"/>
          <w:u w:val="single"/>
        </w:rPr>
        <w:t xml:space="preserve">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>鲍 邦 辉</w:t>
      </w:r>
      <w:r>
        <w:rPr>
          <w:rFonts w:hint="eastAsia"/>
          <w:color w:val="000000"/>
          <w:sz w:val="28"/>
          <w:szCs w:val="28"/>
          <w:u w:val="single"/>
        </w:rPr>
        <w:t xml:space="preserve">              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sz w:val="28"/>
          <w:szCs w:val="28"/>
          <w:u w:val="single"/>
        </w:rPr>
        <w:t xml:space="preserve">       </w:t>
      </w:r>
    </w:p>
    <w:p w14:paraId="1E725607">
      <w:pPr>
        <w:pStyle w:val="2"/>
        <w:ind w:left="0" w:leftChars="0" w:firstLine="840" w:firstLineChars="30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学     号 </w:t>
      </w:r>
      <w:r>
        <w:rPr>
          <w:rFonts w:hint="eastAsia"/>
          <w:color w:val="000000"/>
          <w:sz w:val="28"/>
          <w:szCs w:val="28"/>
          <w:u w:val="single"/>
        </w:rPr>
        <w:t xml:space="preserve">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230331230123       </w:t>
      </w:r>
      <w:r>
        <w:rPr>
          <w:rFonts w:hint="eastAsia"/>
          <w:color w:val="000000"/>
          <w:sz w:val="28"/>
          <w:szCs w:val="28"/>
          <w:u w:val="single"/>
        </w:rPr>
        <w:t xml:space="preserve">     </w:t>
      </w:r>
      <w:r>
        <w:rPr>
          <w:rFonts w:hint="eastAsia"/>
          <w:color w:val="000000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sz w:val="28"/>
          <w:szCs w:val="28"/>
          <w:u w:val="single"/>
        </w:rPr>
        <w:t xml:space="preserve">       </w:t>
      </w:r>
    </w:p>
    <w:p w14:paraId="7E964CA9">
      <w:pPr>
        <w:pStyle w:val="2"/>
        <w:tabs>
          <w:tab w:val="left" w:pos="2700"/>
          <w:tab w:val="left" w:pos="4620"/>
          <w:tab w:val="left" w:pos="7125"/>
        </w:tabs>
        <w:ind w:left="0" w:leftChars="0" w:firstLine="840" w:firstLineChars="300"/>
        <w:rPr>
          <w:rFonts w:hint="eastAsia" w:ascii="宋体" w:hAnsi="宋体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297180</wp:posOffset>
                </wp:positionV>
                <wp:extent cx="63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5pt;margin-top:23.4pt;height:0pt;width:0.05pt;z-index:251659264;mso-width-relative:page;mso-height-relative:page;" filled="f" stroked="t" coordsize="21600,21600" o:gfxdata="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MmUtjVAAAACQEAAA8AAAAAAAAAAQAgAAAAIgAAAGRycy9kb3ducmV2LnhtbFBLAQIUABQAAAAI&#10;AIdO4kB4327X8AEAAOADAAAOAAAAAAAAAAEAIAAAACQ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color w:val="000000"/>
          <w:sz w:val="28"/>
          <w:szCs w:val="28"/>
        </w:rPr>
        <w:t xml:space="preserve">指导教师 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吴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菁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                 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   </w:t>
      </w:r>
    </w:p>
    <w:p w14:paraId="7D2F28DC">
      <w:pPr>
        <w:pStyle w:val="2"/>
        <w:ind w:firstLine="840" w:firstLineChars="400"/>
        <w:rPr>
          <w:rFonts w:hint="eastAsia"/>
          <w:color w:val="000000"/>
          <w:u w:val="single"/>
        </w:rPr>
      </w:pPr>
    </w:p>
    <w:p w14:paraId="610A87C6">
      <w:pPr>
        <w:pStyle w:val="2"/>
        <w:rPr>
          <w:rFonts w:hint="eastAsia"/>
          <w:color w:val="000000"/>
          <w:u w:val="single"/>
        </w:rPr>
      </w:pPr>
    </w:p>
    <w:tbl>
      <w:tblPr>
        <w:tblStyle w:val="4"/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</w:tblGrid>
      <w:tr w14:paraId="0F65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1" w:hRule="atLeast"/>
        </w:trPr>
        <w:tc>
          <w:tcPr>
            <w:tcW w:w="8820" w:type="dxa"/>
            <w:noWrap w:val="0"/>
            <w:vAlign w:val="top"/>
          </w:tcPr>
          <w:p w14:paraId="738D7464">
            <w:pPr>
              <w:spacing w:line="360" w:lineRule="auto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8"/>
              </w:rPr>
              <w:br w:type="page"/>
            </w:r>
            <w:r>
              <w:rPr>
                <w:rFonts w:hAnsi="宋体"/>
                <w:color w:val="000000"/>
                <w:sz w:val="28"/>
              </w:rPr>
              <w:br w:type="page"/>
            </w:r>
            <w:r>
              <w:rPr>
                <w:rFonts w:hAnsi="宋体"/>
                <w:color w:val="000000"/>
                <w:sz w:val="28"/>
              </w:rPr>
              <w:br w:type="page"/>
            </w:r>
            <w:r>
              <w:rPr>
                <w:rFonts w:eastAsia="黑体"/>
                <w:color w:val="000000"/>
                <w:sz w:val="32"/>
              </w:rPr>
              <w:br w:type="page"/>
            </w:r>
            <w:r>
              <w:rPr>
                <w:rFonts w:hint="eastAsia"/>
                <w:color w:val="000000"/>
                <w:sz w:val="24"/>
              </w:rPr>
              <w:t>1．</w:t>
            </w:r>
            <w:r>
              <w:rPr>
                <w:color w:val="000000"/>
                <w:sz w:val="24"/>
              </w:rPr>
              <w:t>本课题的</w:t>
            </w:r>
            <w:r>
              <w:rPr>
                <w:rFonts w:hint="eastAsia"/>
                <w:color w:val="000000"/>
                <w:sz w:val="24"/>
              </w:rPr>
              <w:t>背景、设计</w:t>
            </w:r>
            <w:r>
              <w:rPr>
                <w:color w:val="000000"/>
                <w:sz w:val="24"/>
              </w:rPr>
              <w:t>意义</w:t>
            </w:r>
            <w:r>
              <w:rPr>
                <w:rFonts w:hint="eastAsia"/>
                <w:color w:val="000000"/>
                <w:sz w:val="24"/>
              </w:rPr>
              <w:t>、可行性分析</w:t>
            </w:r>
          </w:p>
          <w:p w14:paraId="0C124A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auto"/>
              <w:ind w:left="0" w:right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背景分析：</w:t>
            </w:r>
          </w:p>
          <w:p w14:paraId="0988376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随着数字经济的快速发展，企业IT基础设施正加速向云计算、容器化和微服务架构演进，这一转型使得企业日志数据呈现爆发式增长态势，日志来源也日益多元化，涵盖应用系统、容器集群、数据库、网络设备等多个维度。传统日志管理系统在应对新时代需求时，逐渐暴露出诸多短板，已难以满足企业运维与安全管理的核心诉求，具体问题如下：</w:t>
            </w:r>
          </w:p>
          <w:p w14:paraId="402AE21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多源日志采集能力薄弱，缺乏统一的采集规范，日志格式杂乱，标准化处理与数据清洗能力不足，无法实现多来源日志的有效整合；</w:t>
            </w:r>
          </w:p>
          <w:p w14:paraId="5385A38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海量日志存储与检索效率低下，检索延迟较高，难以满足运维人员实时定位故障、追踪问题的需求，影响故障处置效率；</w:t>
            </w:r>
          </w:p>
          <w:p w14:paraId="39C7C95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告警机制不完善，告警规则维护成本高，存在误报、漏报现象，无法及时发现并预警潜在的系统异常与安全风险；</w:t>
            </w:r>
          </w:p>
          <w:p w14:paraId="3668457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审计追踪与数据安全策略不统一，缺乏规范的日志脱敏、访问控制机制，难以满足《网络安全法》《数据安全法》等法律法规的合规要求，企业面临的合规压力持续上升。</w:t>
            </w:r>
          </w:p>
          <w:p w14:paraId="3A47B20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在此背景下，构建一套覆盖“采集-传输-存储-分析-告警-可视化”全链路的一体化企业级日志管理系统，实现日志数据的全生命周期管理，解决传统系统的痛点问题，具备明确的工程应用价值与学术研究意义，也是适配企业数字化转型的必然需求。</w:t>
            </w:r>
          </w:p>
          <w:p w14:paraId="61DA67B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300" w:lineRule="auto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设计意义：</w:t>
            </w:r>
          </w:p>
          <w:p w14:paraId="302983E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本课题的设计意义主要体现在实用价值、安全价值与技术价值三个方面，具体如下：</w:t>
            </w:r>
          </w:p>
          <w:p w14:paraId="239C3DE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1.实用价值：通过构建一体化日志管理系统，实现日志数据的统一采集、标准化处理、高效存储与快速检索，缩短企业IT运维故障定位时间，提升运维工作效率，降低IT运维人力与资源成本，为企业业务稳定运行提供保障。</w:t>
            </w:r>
          </w:p>
          <w:p w14:paraId="01819CA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2.安全价值：系统融入日志脱敏、细粒度访问控制、全流程审计追踪等功能，满足企业数据安全与合规要求，实现安全事件的快速溯源，提升企业网络安全防护能力，规避合规风险。</w:t>
            </w:r>
          </w:p>
          <w:p w14:paraId="2EE464C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3.技术价值：综合应用Go语言开发、React前端框架、Kafka消息队列、Elasticsearch检索引擎、Flink实时计算、Kubernetes容器化部署等主流技术，构建分布式、云原生的日志管理架构，形成可复用的工程实践方案，提升自身全栈开发、分布式系统设计与云原生部署的综合能力，为同类课题研究提供参考。</w:t>
            </w:r>
          </w:p>
          <w:p w14:paraId="698B8BD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300" w:lineRule="auto"/>
              <w:ind w:left="0" w:right="0"/>
              <w:textAlignment w:val="auto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可行性分析：</w:t>
            </w:r>
          </w:p>
          <w:p w14:paraId="7556151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本课题将采用“MVP优先+增量增强”的推进策略，结合成熟技术栈与现有资源，从技术、资源、能力、周期四个维度开展可行性分析，确保课题在8周内顺利完成，具体如下：</w:t>
            </w:r>
          </w:p>
          <w:p w14:paraId="3077A08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1.技术可行性：本课题采用的Go、React、Kafka、Elasticsearch、Flink、Kubernetes等技术均为当前工业界主流技术，社区活跃、技术文档完善、实践案例丰富，不存在技术壁垒。同时，这些技术的兼容性良好，能够快速构建起“采集-传输-存储-分析-告警-可视化”的全链路架构，技术方案成熟可行。</w:t>
            </w:r>
          </w:p>
          <w:p w14:paraId="544BCC5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2.资源可行性：依托学校实验室环境，可获取基础计算资源与容器平台，满足系统开发、测试与演示部署的需求；同时，可申请云服务器用于公网联调与备份，硬件与软件资源均能得到有效保障，无需额外投入大量资源。</w:t>
            </w:r>
          </w:p>
          <w:p w14:paraId="0824354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3.能力可行性：本人具备云计算、分布式系统、数据库与Web开发的基础能力，熟悉Go语言与React框架的使用，能够熟练运用Git进行版本管理、Docker进行容器化部署，可通过模块化分工与迭代开发的方式，逐步完成课题目标。</w:t>
            </w:r>
          </w:p>
          <w:p w14:paraId="2484226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.周期可行性：结合课题核心需求，制定8周详细实施计划，采用“先完成最小可用闭环（MVP），再进行性能优化与功能增强”的思路，明确各阶段任务边界与产出物，确保任务可控、进度可追溯，能够在规定时间内完成课题设计与实施。</w:t>
            </w:r>
          </w:p>
        </w:tc>
      </w:tr>
      <w:tr w14:paraId="7D1A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6" w:hRule="atLeast"/>
        </w:trPr>
        <w:tc>
          <w:tcPr>
            <w:tcW w:w="8820" w:type="dxa"/>
            <w:noWrap w:val="0"/>
            <w:vAlign w:val="top"/>
          </w:tcPr>
          <w:p w14:paraId="7D87173B">
            <w:pPr>
              <w:spacing w:line="360" w:lineRule="auto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2．课题的主要内容，构思及初步见解，拟采用的设计方法与手段，所需材料及设备，经费预算，预期成果等</w:t>
            </w:r>
            <w:r>
              <w:rPr>
                <w:color w:val="000000"/>
                <w:sz w:val="24"/>
              </w:rPr>
              <w:t>。</w:t>
            </w:r>
          </w:p>
          <w:p w14:paraId="0CBDD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课题的主要内容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：</w:t>
            </w:r>
          </w:p>
          <w:p w14:paraId="608D21F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本课题旨在设计并实现一套企业级日志管理系统，覆盖日志全生命周期管理，核心研究内容分为五大模块，具体如下：</w:t>
            </w:r>
          </w:p>
          <w:p w14:paraId="5D8AD98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日志采集层：设计多源日志采集方案，支持应用日志、容器日志、数据库日志等多种类型日志的采集，实现日志格式统一、数据清洗、敏感信息脱敏与日志优先级标记，确保采集数据的规范性与安全性。</w:t>
            </w:r>
          </w:p>
          <w:p w14:paraId="592C80C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存储层：构建热/温/冷分层存储架构，热数据采用Elasticsearch存储，保障实时查询性能；温数据与冷数据采用低成本存储方案，兼顾长期存储需求与成本控制，实现日志数据的高效存储与生命周期管理。</w:t>
            </w:r>
          </w:p>
          <w:p w14:paraId="52B2994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分析层：基于Flink实时计算框架，实现日志数据的实时分析，包括异常检测、事件关联分析与运行趋势分析，能够快速识别系统异常与潜在风险。</w:t>
            </w:r>
          </w:p>
          <w:p w14:paraId="22FCB49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告警层：设计灵活的告警机制，支持阈值告警、规则告警两种模式，实现告警抑制、告警升级功能，可根据日志异常级别自动推送告警信息，提升故障预警能力。</w:t>
            </w:r>
          </w:p>
          <w:p w14:paraId="3B655F8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可视化层：开发前端可视化界面，包括系统仪表盘、日志检索分析页面、审计追踪页面，支持多维度筛选、日志回放与数据统计展示，为运维人员提供直观的操作入口。</w:t>
            </w:r>
          </w:p>
          <w:p w14:paraId="1190E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课题</w:t>
            </w:r>
            <w:r>
              <w:rPr>
                <w:rFonts w:hint="eastAsia"/>
                <w:b/>
                <w:bCs/>
                <w:color w:val="000000"/>
                <w:sz w:val="24"/>
              </w:rPr>
              <w:t>构思及初步见解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：</w:t>
            </w:r>
          </w:p>
          <w:p w14:paraId="68C600A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架构思路：采用模块化、微服务架构设计，将采集、存储、分析、告警、可视化各模块解耦，通过标准接口实现组件协同，便于后续功能扩展与组件替换，提升系统的灵活性与可维护性。</w:t>
            </w:r>
          </w:p>
          <w:p w14:paraId="1204AD8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闭环思路：以“采集→传输→存储→分析→告警→可视化”为主线，确保日志数据在全链路可追踪、可回放、可验证，形成完整的日志管理闭环，提升系统的可靠性与易用性。</w:t>
            </w:r>
          </w:p>
          <w:p w14:paraId="5229BE3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迭代思路：遵循敏捷迭代开发理念，先完成最小可用闭环（MVP），优先实现核心功能，再逐步增加系统稳定性、性能优化与治理能力，确保8周内按阶段完成产出，避免因功能过于复杂导致进度延误。</w:t>
            </w:r>
          </w:p>
          <w:p w14:paraId="6C55641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范围控制：本课题聚焦企业日志管理系统的核心功能，不扩展大规模AI高级分析、复杂多租户计费等二期功能，聚焦核心链路的稳定性与可用性，确保课题目标清晰、任务可控。</w:t>
            </w:r>
          </w:p>
          <w:p w14:paraId="06D78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拟采用的设计方法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：</w:t>
            </w:r>
          </w:p>
          <w:p w14:paraId="35D1F65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本课题采用以下研究方法，确保研究过程科学、高效：</w:t>
            </w:r>
          </w:p>
          <w:p w14:paraId="7D066B6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模块化设计：将系统划分为多个独立模块，分别进行设计与开发，降低开发难度，提升代码复用性与可维护性；</w:t>
            </w:r>
          </w:p>
          <w:p w14:paraId="31642BA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敏捷迭代：采用迭代开发模式，每一周为一个小迭代，完成指定模块的开发与测试，及时调整需求与方案；</w:t>
            </w:r>
          </w:p>
          <w:p w14:paraId="0D93DCB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测试驱动开发（TDD）：先编写测试用例，再进行代码开发，确保代码质量，减少后期缺陷修复成本；</w:t>
            </w:r>
          </w:p>
          <w:p w14:paraId="6C382C6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持续集成（CI）：通过Git+CI工具，实现代码提交后的自动构建、测试与部署，提升开发效率，确保代码稳定性。</w:t>
            </w:r>
          </w:p>
          <w:p w14:paraId="17CEE77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拟采用的设计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手段：</w:t>
            </w:r>
          </w:p>
          <w:p w14:paraId="0407BF3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通过OpenAPI/Swagger维护接口契约，规范前后端接口设计，提升接口联调效率；</w:t>
            </w:r>
          </w:p>
          <w:p w14:paraId="209DDAF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使用Postman工具进行接口联调与回归测试，确保接口功能正常；</w:t>
            </w:r>
          </w:p>
          <w:p w14:paraId="50CF9EE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采用JMeter工具进行性能压测，定位系统性能瓶颈，优化系统响应速度；</w:t>
            </w:r>
          </w:p>
          <w:p w14:paraId="631A48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使用Git+分支策略进行版本管理与变更追踪，确保代码开发过程可追溯；</w:t>
            </w:r>
          </w:p>
          <w:p w14:paraId="45D0203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通过Docker/Kubernetes实现容器化部署与环境复现，确保开发、测试、部署环境一致，提升部署效率。</w:t>
            </w:r>
          </w:p>
          <w:p w14:paraId="6D4F0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所需材料及设备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：</w:t>
            </w:r>
          </w:p>
          <w:p w14:paraId="2A8BFEB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物理服务器1台（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GB内存，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核CPU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500G机械硬盘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），用于系统开发、测试与核心部署；</w:t>
            </w:r>
          </w:p>
          <w:p w14:paraId="0891194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云服务器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台，用于公网联调、系统演示与数据备份；</w:t>
            </w:r>
          </w:p>
          <w:p w14:paraId="7B67A58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开发笔记本1台，用于代码开发、调试与文档编写。</w:t>
            </w:r>
          </w:p>
          <w:p w14:paraId="5CF8E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经费预算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：</w:t>
            </w:r>
          </w:p>
          <w:p w14:paraId="5C62430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本课题经费主要用于云服务器租赁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具体预算如下：</w:t>
            </w:r>
          </w:p>
          <w:p w14:paraId="6A40DA3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云服务器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台（租赁2个月）：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400-800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元；</w:t>
            </w:r>
          </w:p>
          <w:p w14:paraId="1EAA23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物理服务器1台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个人已有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；</w:t>
            </w:r>
          </w:p>
          <w:p w14:paraId="3DB920B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开发笔记本1台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个人已有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；</w:t>
            </w:r>
          </w:p>
          <w:p w14:paraId="5C6D62B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预算合计：</w:t>
            </w:r>
          </w:p>
          <w:p w14:paraId="500E3A2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新购设备场景：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/>
              </w:rPr>
              <w:t>400-800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元；</w:t>
            </w:r>
          </w:p>
          <w:p w14:paraId="288D1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预期成果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：</w:t>
            </w:r>
          </w:p>
          <w:p w14:paraId="404B0A0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本课题通过8周的设计与实施，预期达成以下成果：</w:t>
            </w:r>
          </w:p>
          <w:p w14:paraId="5A1444D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功能成果：交付可运行的企业级日志管理系统原型，覆盖日志采集、存储、分析、告警、可视化全核心链路，能够满足企业基础运维与安全审计需求。</w:t>
            </w:r>
          </w:p>
          <w:p w14:paraId="43B732B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文档成果：形成完整的课题研究文档，包括开题报告、系统设计说明书、测试报告、部署手册与阶段总结报告，确保研究过程可追溯、成果可复用。</w:t>
            </w:r>
          </w:p>
          <w:p w14:paraId="2194982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技术成果：熟练掌握分布式系统设计、实时数据处理、云原生部署与前后端协同开发能力，提升自身工程实践水平，为后续职业发展与学术研究奠定基础。</w:t>
            </w:r>
          </w:p>
          <w:p w14:paraId="11BD7D6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300" w:lineRule="auto"/>
              <w:ind w:left="0" w:right="0" w:firstLine="480" w:firstLineChars="200"/>
              <w:textAlignment w:val="auto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工程成果：沉淀可复用的接口规范、测试脚本与运维操作规范，形成标准化的日志管理系统开发与部署流程，为同类系统的设计与实现提供参考。</w:t>
            </w:r>
          </w:p>
        </w:tc>
      </w:tr>
    </w:tbl>
    <w:p w14:paraId="5DAD401D">
      <w:pPr>
        <w:rPr>
          <w:color w:val="000000"/>
        </w:rPr>
      </w:pPr>
    </w:p>
    <w:tbl>
      <w:tblPr>
        <w:tblStyle w:val="4"/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</w:tblGrid>
      <w:tr w14:paraId="1170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8820" w:type="dxa"/>
            <w:noWrap w:val="0"/>
            <w:vAlign w:val="top"/>
          </w:tcPr>
          <w:p w14:paraId="136E76DD">
            <w:pPr>
              <w:spacing w:line="360" w:lineRule="auto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3．工作进度计划</w:t>
            </w:r>
          </w:p>
          <w:p w14:paraId="38061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2026年3月02日-2026年3月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08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完成需求冻结、架构方案评审、开发环境搭建；实现认证与网关主干最小可用版本</w:t>
            </w:r>
          </w:p>
          <w:p w14:paraId="71F49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09</w:t>
            </w:r>
            <w:r>
              <w:rPr>
                <w:rFonts w:hint="eastAsia"/>
                <w:color w:val="000000"/>
                <w:sz w:val="18"/>
                <w:szCs w:val="18"/>
              </w:rPr>
              <w:t>日-2026年3月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完成认证闭环（注册/登录/刷新/退出/重置密码）与数据库迁移演练；前端登录主路径接入真实API</w:t>
            </w:r>
          </w:p>
          <w:p w14:paraId="5C85B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eastAsia"/>
                <w:color w:val="000000"/>
                <w:sz w:val="18"/>
                <w:szCs w:val="18"/>
              </w:rPr>
              <w:t>日-2026年3月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22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完成日志接入控制面接口（拉取源与任务管理），打通任务状态流转与基础监控</w:t>
            </w:r>
          </w:p>
          <w:p w14:paraId="30D0B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23</w:t>
            </w:r>
            <w:r>
              <w:rPr>
                <w:rFonts w:hint="eastAsia"/>
                <w:color w:val="000000"/>
                <w:sz w:val="18"/>
                <w:szCs w:val="18"/>
              </w:rPr>
              <w:t>日-2026年3月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29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完成Agent增量采集、Kafka发送、回执与死信重放闭环，确保链路可追溯</w:t>
            </w:r>
          </w:p>
          <w:p w14:paraId="19809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2026年3月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30</w:t>
            </w:r>
            <w:r>
              <w:rPr>
                <w:rFonts w:hint="eastAsia"/>
                <w:color w:val="000000"/>
                <w:sz w:val="18"/>
                <w:szCs w:val="18"/>
              </w:rPr>
              <w:t>日-2026年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05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完成检索能力主链路（实时查询、历史记录、收藏查询），前端查询页去Mock</w:t>
            </w:r>
          </w:p>
          <w:p w14:paraId="38C70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06</w:t>
            </w:r>
            <w:r>
              <w:rPr>
                <w:rFonts w:hint="eastAsia"/>
                <w:color w:val="000000"/>
                <w:sz w:val="18"/>
                <w:szCs w:val="18"/>
              </w:rPr>
              <w:t>日-2026年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完成审计、告警、用户角色最小治理闭环；补齐权限与操作审计记录</w:t>
            </w:r>
          </w:p>
          <w:p w14:paraId="3049A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13</w:t>
            </w:r>
            <w:r>
              <w:rPr>
                <w:rFonts w:hint="eastAsia"/>
                <w:color w:val="000000"/>
                <w:sz w:val="18"/>
                <w:szCs w:val="18"/>
              </w:rPr>
              <w:t>日-2026年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19</w:t>
            </w:r>
            <w:r>
              <w:rPr>
                <w:rFonts w:hint="eastAsia"/>
                <w:color w:val="000000"/>
                <w:sz w:val="18"/>
                <w:szCs w:val="18"/>
              </w:rPr>
              <w:t>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开展系统性能测试、稳定性测试与安全检查，修复高优先级缺陷并优化关键瓶颈</w:t>
            </w:r>
          </w:p>
          <w:p w14:paraId="42052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2026年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月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20</w:t>
            </w:r>
            <w:r>
              <w:rPr>
                <w:rFonts w:hint="eastAsia"/>
                <w:color w:val="000000"/>
                <w:sz w:val="18"/>
                <w:szCs w:val="18"/>
              </w:rPr>
              <w:t>日-2026年4月24日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/>
                <w:color w:val="000000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完成项目验收准备与成果固化：文档归档、演示脚本、答辩材料整理</w:t>
            </w:r>
          </w:p>
        </w:tc>
      </w:tr>
      <w:tr w14:paraId="56F1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9" w:hRule="atLeast"/>
        </w:trPr>
        <w:tc>
          <w:tcPr>
            <w:tcW w:w="8820" w:type="dxa"/>
            <w:noWrap w:val="0"/>
            <w:vAlign w:val="top"/>
          </w:tcPr>
          <w:p w14:paraId="696B9A01">
            <w:pPr>
              <w:spacing w:line="360" w:lineRule="auto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4．参考文献</w:t>
            </w:r>
          </w:p>
          <w:p w14:paraId="17B1F0D1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[1]  龚正, 吴治辉, 闫健勇. Kubernetes权威指南：从Docker到Kubernetes实践全接触（第5版）[M]. 电子工业出版社, 2021.</w:t>
            </w:r>
          </w:p>
          <w:p w14:paraId="20CCC3A7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[2]  国家市场监督管理总局, 国家标准化管理委员会. 信息安全技术 网络安全等级保护定级指南: GB/T 22240-2020[M]. 2020.</w:t>
            </w:r>
          </w:p>
          <w:p w14:paraId="3390A4F5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[3]  牛冬. Elasticsearch实战与原理解析[M]. 电子工业出版社, 2020.</w:t>
            </w:r>
          </w:p>
          <w:p w14:paraId="3E337C75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[4]  张超. Elasticsearch源码解析与优化实战[M]. 电子工业出版社, 2018.</w:t>
            </w:r>
          </w:p>
          <w:p w14:paraId="3EED8EC7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[5]  朱忠华. 深入理解Kafka：核心设计与实践原理[M]. 电子工业出版社, 2019.</w:t>
            </w:r>
          </w:p>
          <w:p w14:paraId="3C822B72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[6]  NARKHEDE N, SHAPIRA G, PALINO T. Kafka权威指南[M]. 薛命灯, 译. 人民邮电出版社, 2017.</w:t>
            </w:r>
          </w:p>
        </w:tc>
      </w:tr>
      <w:tr w14:paraId="6B4F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8820" w:type="dxa"/>
            <w:noWrap w:val="0"/>
            <w:vAlign w:val="top"/>
          </w:tcPr>
          <w:p w14:paraId="362CCCFB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指导教师意见：</w:t>
            </w:r>
          </w:p>
          <w:p w14:paraId="5A8D0659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</w:p>
          <w:p w14:paraId="0F573F86">
            <w:pPr>
              <w:wordWrap w:val="0"/>
              <w:spacing w:line="400" w:lineRule="exact"/>
              <w:rPr>
                <w:rFonts w:hint="eastAsia"/>
                <w:color w:val="000000"/>
                <w:sz w:val="24"/>
              </w:rPr>
            </w:pPr>
          </w:p>
          <w:p w14:paraId="50E4AAC6">
            <w:pPr>
              <w:wordWrap w:val="0"/>
              <w:spacing w:line="400" w:lineRule="exact"/>
              <w:rPr>
                <w:rFonts w:hint="eastAsia"/>
                <w:color w:val="000000"/>
                <w:sz w:val="24"/>
              </w:rPr>
            </w:pPr>
          </w:p>
          <w:p w14:paraId="6420F76B">
            <w:pPr>
              <w:wordWrap w:val="0"/>
              <w:spacing w:line="400" w:lineRule="exact"/>
              <w:ind w:firstLine="5520" w:firstLineChars="23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指导教师：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 </w:t>
            </w:r>
            <w:r>
              <w:rPr>
                <w:color w:val="000000"/>
                <w:sz w:val="24"/>
                <w:u w:val="single"/>
              </w:rPr>
              <w:t xml:space="preserve">   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</w:t>
            </w:r>
          </w:p>
          <w:p w14:paraId="62C5CA57">
            <w:pPr>
              <w:pStyle w:val="3"/>
              <w:spacing w:line="440" w:lineRule="exact"/>
              <w:ind w:right="458" w:firstLine="480"/>
              <w:jc w:val="right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>2026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年 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>3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 月 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>11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 日</w:t>
            </w:r>
          </w:p>
        </w:tc>
      </w:tr>
      <w:tr w14:paraId="5123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1" w:hRule="atLeast"/>
        </w:trPr>
        <w:tc>
          <w:tcPr>
            <w:tcW w:w="8820" w:type="dxa"/>
            <w:noWrap w:val="0"/>
            <w:vAlign w:val="top"/>
          </w:tcPr>
          <w:p w14:paraId="5583EAE3">
            <w:pPr>
              <w:pStyle w:val="3"/>
              <w:spacing w:line="440" w:lineRule="exact"/>
              <w:ind w:right="458" w:firstLine="0" w:firstLineChars="0"/>
              <w:rPr>
                <w:rFonts w:ascii="宋体" w:hAnsi="宋体" w:eastAsia="宋体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二级学院</w:t>
            </w:r>
            <w:r>
              <w:rPr>
                <w:rFonts w:hint="eastAsia" w:ascii="宋体" w:hAnsi="宋体" w:eastAsia="宋体"/>
                <w:bCs/>
                <w:color w:val="000000"/>
                <w:sz w:val="24"/>
              </w:rPr>
              <w:t>毕业设计工作委员会</w:t>
            </w:r>
            <w:r>
              <w:rPr>
                <w:rFonts w:ascii="宋体" w:hAnsi="宋体" w:eastAsia="宋体"/>
                <w:color w:val="000000"/>
                <w:sz w:val="24"/>
              </w:rPr>
              <w:t>意见：</w:t>
            </w:r>
          </w:p>
          <w:p w14:paraId="4833B3AC">
            <w:pPr>
              <w:pStyle w:val="3"/>
              <w:spacing w:line="440" w:lineRule="exact"/>
              <w:ind w:right="458" w:firstLine="480"/>
              <w:rPr>
                <w:rFonts w:hint="eastAsia" w:ascii="宋体" w:hAnsi="宋体" w:eastAsia="宋体"/>
                <w:color w:val="000000"/>
                <w:sz w:val="24"/>
              </w:rPr>
            </w:pPr>
          </w:p>
          <w:p w14:paraId="4FC88742">
            <w:pPr>
              <w:pStyle w:val="3"/>
              <w:spacing w:line="440" w:lineRule="exact"/>
              <w:ind w:right="458" w:firstLine="480"/>
              <w:rPr>
                <w:rFonts w:hint="eastAsia" w:ascii="宋体" w:hAnsi="宋体" w:eastAsia="宋体"/>
                <w:color w:val="000000"/>
                <w:sz w:val="24"/>
              </w:rPr>
            </w:pPr>
          </w:p>
          <w:p w14:paraId="0CAFB26F">
            <w:pPr>
              <w:pStyle w:val="3"/>
              <w:spacing w:line="440" w:lineRule="exact"/>
              <w:ind w:right="458" w:firstLine="480"/>
              <w:rPr>
                <w:rFonts w:hint="eastAsia" w:ascii="宋体" w:hAnsi="宋体" w:eastAsia="宋体"/>
                <w:color w:val="000000"/>
                <w:sz w:val="24"/>
              </w:rPr>
            </w:pPr>
          </w:p>
          <w:p w14:paraId="68EF2A06">
            <w:pPr>
              <w:pStyle w:val="3"/>
              <w:wordWrap w:val="0"/>
              <w:spacing w:line="440" w:lineRule="exact"/>
              <w:ind w:right="458" w:firstLine="480"/>
              <w:rPr>
                <w:rFonts w:hint="eastAsia" w:ascii="宋体" w:hAnsi="宋体" w:eastAsia="宋体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 xml:space="preserve">                                       （盖章）</w:t>
            </w:r>
          </w:p>
          <w:p w14:paraId="0E874DFD">
            <w:pPr>
              <w:pStyle w:val="3"/>
              <w:spacing w:line="440" w:lineRule="exact"/>
              <w:ind w:right="458" w:firstLine="480"/>
              <w:jc w:val="right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>2026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 年 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>3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 月 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>18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 日</w:t>
            </w:r>
          </w:p>
        </w:tc>
      </w:tr>
    </w:tbl>
    <w:p w14:paraId="2E70DF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MjE5NWMyMjhkOWU2OGIzOTQ2ZDg1MmU5YmJjYjQifQ=="/>
  </w:docVars>
  <w:rsids>
    <w:rsidRoot w:val="434F5117"/>
    <w:rsid w:val="016C0FA1"/>
    <w:rsid w:val="03A762C0"/>
    <w:rsid w:val="040012CD"/>
    <w:rsid w:val="0A6A44EC"/>
    <w:rsid w:val="0DF93BBD"/>
    <w:rsid w:val="0E2826F4"/>
    <w:rsid w:val="0FBA3F1F"/>
    <w:rsid w:val="11B44BC1"/>
    <w:rsid w:val="136637D9"/>
    <w:rsid w:val="139C5329"/>
    <w:rsid w:val="1A6A34BF"/>
    <w:rsid w:val="1B554099"/>
    <w:rsid w:val="1C817B9F"/>
    <w:rsid w:val="203E716C"/>
    <w:rsid w:val="21B209BC"/>
    <w:rsid w:val="26822B08"/>
    <w:rsid w:val="2A4516DD"/>
    <w:rsid w:val="2D211064"/>
    <w:rsid w:val="2F501D29"/>
    <w:rsid w:val="36DF21C6"/>
    <w:rsid w:val="41A2189A"/>
    <w:rsid w:val="41AA074E"/>
    <w:rsid w:val="41AB2BE7"/>
    <w:rsid w:val="434F5117"/>
    <w:rsid w:val="45294080"/>
    <w:rsid w:val="47A7740D"/>
    <w:rsid w:val="579E08FE"/>
    <w:rsid w:val="5A6802C6"/>
    <w:rsid w:val="601A2442"/>
    <w:rsid w:val="63967C77"/>
    <w:rsid w:val="65493C57"/>
    <w:rsid w:val="668B757F"/>
    <w:rsid w:val="6D033285"/>
    <w:rsid w:val="76270CEF"/>
    <w:rsid w:val="7CE6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pPr>
      <w:spacing w:after="120"/>
    </w:pPr>
  </w:style>
  <w:style w:type="paragraph" w:styleId="3">
    <w:name w:val="Body Text Indent"/>
    <w:basedOn w:val="1"/>
    <w:autoRedefine/>
    <w:semiHidden/>
    <w:qFormat/>
    <w:uiPriority w:val="0"/>
    <w:pPr>
      <w:adjustRightInd w:val="0"/>
      <w:snapToGrid w:val="0"/>
      <w:spacing w:line="560" w:lineRule="exact"/>
      <w:ind w:firstLine="640" w:firstLineChars="200"/>
    </w:pPr>
    <w:rPr>
      <w:rFonts w:ascii="仿宋_GB2312" w:eastAsia="仿宋_GB2312"/>
      <w:sz w:val="32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3768</Words>
  <Characters>4238</Characters>
  <Lines>0</Lines>
  <Paragraphs>0</Paragraphs>
  <TotalTime>1</TotalTime>
  <ScaleCrop>false</ScaleCrop>
  <LinksUpToDate>false</LinksUpToDate>
  <CharactersWithSpaces>4590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2023-02-26T13:36:00Z</dcterms:created>
  <dc:creator>chp</dc:creator>
  <cp:lastModifiedBy>晚宁</cp:lastModifiedBy>
  <dcterms:modified xsi:type="dcterms:W3CDTF">2026-03-01T05:47:51Z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8FAFF87F49BB4F9C8D67E50A79C383AB</vt:lpwstr>
  </property>
  <property fmtid="{D5CDD505-2E9C-101B-9397-08002B2CF9AE}" pid="4" name="KSOTemplateDocerSaveRecord">
    <vt:lpwstr>eyJoZGlkIjoiZWM0NDkwNWUzZGQ5NzU5M2NjOWMwZTczMWQzNGQ2MzUiLCJ1c2VySWQiOiIxMjgzNTQ4NzY1In0=</vt:lpwstr>
  </property>
</Properties>
</file>