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1"/>
        <w:widowControl w:val="true"/>
        <w:pBdr/>
        <w:spacing/>
        <w:ind/>
        <w:jc w:val="left"/>
        <w:rPr/>
      </w:pPr>
      <w:r>
        <w:t xml:space="preserve">Cybersecurity Policies and</w:t>
        <w:br/>
        <w:t xml:space="preserve">Incident Response Plan</w:t>
        <w:br/>
        <w:t xml:space="preserve">for a Small Business</w:t>
      </w:r>
      <w:r/>
    </w:p>
    <w:p>
      <w:pPr>
        <w:pStyle w:val="733"/>
        <w:widowControl w:val="true"/>
        <w:pBdr/>
        <w:spacing/>
        <w:ind/>
        <w:rPr/>
      </w:pPr>
      <w:r>
        <w:t xml:space="preserve">A practical governance, prevention, detection, response and recovery framework</w:t>
      </w:r>
      <w:r/>
    </w:p>
    <w:p>
      <w:pPr>
        <w:widowControl w:val="true"/>
        <w:pBdr/>
        <w:spacing/>
        <w:ind/>
        <w:jc w:val="center"/>
        <w:rPr/>
      </w:pPr>
      <w:r>
        <mc:AlternateContent>
          <mc:Choice Requires="wpg">
            <w:drawing>
              <wp:inline xmlns:wp="http://schemas.openxmlformats.org/drawingml/2006/wordprocessingDrawing" distT="0" distB="0" distL="0" distR="0">
                <wp:extent cx="6309360" cy="2208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a:picLocks noChangeAspect="1"/>
                        </pic:cNvPicPr>
                        <pic:nvPr/>
                      </pic:nvPicPr>
                      <pic:blipFill rotWithShape="1">
                        <a:blip r:embed="rId12"/>
                        <a:stretch/>
                      </pic:blipFill>
                      <pic:spPr bwMode="auto">
                        <a:xfrm>
                          <a:off x="0" y="0"/>
                          <a:ext cx="6309360" cy="22082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6.80pt;height:173.88pt;mso-wrap-distance-left:0.00pt;mso-wrap-distance-top:0.00pt;mso-wrap-distance-right:0.00pt;mso-wrap-distance-bottom:0.00pt;z-index:1;" stroked="false">
                <v:imagedata r:id="rId12" o:title=""/>
                <o:lock v:ext="edit" rotation="t"/>
              </v:shape>
            </w:pict>
          </mc:Fallback>
        </mc:AlternateContent>
      </w:r>
      <w:r/>
    </w:p>
    <w:tbl>
      <w:tblPr>
        <w:jc w:val="center"/>
        <w:tblW w:w="0" w:type="auto"/>
        <w:tblBorders/>
        <w:tblLayout w:type="fixed"/>
        <w:tblLook w:val="04A0" w:firstRow="1" w:lastRow="0" w:firstColumn="1" w:lastColumn="0" w:noHBand="0" w:noVBand="1"/>
      </w:tblPr>
      <w:tblGrid>
        <w:gridCol w:w="4968"/>
        <w:gridCol w:w="4968"/>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ffffff"/>
                <w:sz w:val="18"/>
              </w:rPr>
              <w:t xml:space="preserve">Prepared by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8"/>
              </w:rPr>
              <w:t xml:space="preserve">Simranpreet Singh</w:t>
            </w:r>
            <w:r/>
          </w:p>
        </w:tc>
      </w:tr>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ffffff"/>
                <w:sz w:val="18"/>
              </w:rPr>
              <w:t xml:space="preserve">Project type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8"/>
              </w:rPr>
              <w:t xml:space="preserve">Cybersecurity internship project</w:t>
            </w:r>
            <w:r/>
          </w:p>
        </w:tc>
      </w:tr>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ffffff"/>
                <w:sz w:val="18"/>
              </w:rPr>
              <w:t xml:space="preserve">Business model used</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8"/>
              </w:rPr>
              <w:t xml:space="preserve">Fictional small business template - BrightPath Services</w:t>
            </w:r>
            <w:r/>
          </w:p>
        </w:tc>
      </w:tr>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ffffff"/>
                <w:sz w:val="18"/>
              </w:rPr>
              <w:t xml:space="preserve">Project duration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8"/>
              </w:rPr>
              <w:t xml:space="preserve">20 hours</w:t>
            </w:r>
            <w:r/>
          </w:p>
        </w:tc>
      </w:tr>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ffffff"/>
                <w:sz w:val="18"/>
              </w:rPr>
              <w:t xml:space="preserve">Version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8"/>
              </w:rPr>
              <w:t xml:space="preserve">1.0</w:t>
            </w:r>
            <w:r/>
          </w:p>
        </w:tc>
      </w:tr>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ffffff"/>
                <w:sz w:val="18"/>
              </w:rPr>
              <w:t xml:space="preserve">Date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8"/>
              </w:rPr>
              <w:t xml:space="preserve">14 July 2026</w:t>
            </w:r>
            <w:r/>
          </w:p>
        </w:tc>
      </w:tr>
    </w:tbl>
    <w:p>
      <w:pPr>
        <w:widowControl w:val="true"/>
        <w:pBdr/>
        <w:spacing/>
        <w:ind/>
        <w:rPr/>
      </w:pPr>
      <w:r>
        <w:br w:type="page" w:clear="all"/>
      </w:r>
      <w:r/>
    </w:p>
    <w:p>
      <w:pPr>
        <w:pStyle w:val="715"/>
        <w:widowControl w:val="true"/>
        <w:pBdr/>
        <w:spacing/>
        <w:ind/>
        <w:rPr/>
      </w:pPr>
      <w:r>
        <w:t xml:space="preserve">Table of Contents</w:t>
      </w:r>
      <w:r/>
    </w:p>
    <w:p>
      <w:pPr>
        <w:pStyle w:val="876"/>
        <w:widowControl w:val="true"/>
        <w:pBdr/>
        <w:spacing/>
        <w:ind/>
        <w:rPr/>
      </w:pPr>
      <w:r>
        <w:t xml:space="preserve">The report is arranged from business context and policy controls through incident response, practical scenarios, implementation and reusable templates.</w:t>
      </w:r>
      <w:r/>
    </w:p>
    <w:tbl>
      <w:tblPr>
        <w:jc w:val="center"/>
        <w:tblW w:w="0" w:type="auto"/>
        <w:tblBorders/>
        <w:tblLayout w:type="fixed"/>
        <w:tblLook w:val="04A0" w:firstRow="1" w:lastRow="0" w:firstColumn="1" w:lastColumn="0" w:noHBand="0" w:noVBand="1"/>
      </w:tblPr>
      <w:tblGrid>
        <w:gridCol w:w="4968"/>
        <w:gridCol w:w="4968"/>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ind/>
              <w:jc w:val="center"/>
              <w:rPr/>
            </w:pPr>
            <w:r>
              <w:rPr>
                <w:rFonts w:ascii="Arial" w:hAnsi="Arial"/>
                <w:b/>
                <w:color w:val="ffffff"/>
                <w:sz w:val="17"/>
              </w:rPr>
              <w:t xml:space="preserve">Section</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ind/>
              <w:jc w:val="center"/>
              <w:rPr/>
            </w:pPr>
            <w:r>
              <w:rPr>
                <w:rFonts w:ascii="Arial" w:hAnsi="Arial"/>
                <w:b/>
                <w:color w:val="ffffff"/>
                <w:sz w:val="17"/>
              </w:rPr>
              <w:t xml:space="preserve">Page</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Executive Summary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4</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1. Introduction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5</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2. Business Context and Risk Assessment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6</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3. Cybersecurity Governance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8</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4. Cybersecurity Policy Suite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9</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5. Incident Response Plan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13</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6. Incident Scenarios and Response Playbooks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17</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7. Implementation Roadmap</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19</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8. Monitoring, Metrics and Review</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21</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9. Conclusion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21</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Appendix A - Incident Report Form</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22</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Appendix B - Incident Contact List Template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23</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Appendix C - Employee Cyber Incident Quick Card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23</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Appendix D - Chain of Custody Log</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23</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Appendix E - Post-Incident Review Template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24</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Appendix F - Policy Acknowledgement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25</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Appendix G - Glossary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25</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496" w:type="dxa"/>
            <w:vAlign w:val="center"/>
          </w:tcPr>
          <w:p>
            <w:pPr>
              <w:pBdr/>
              <w:spacing w:after="30"/>
              <w:ind/>
              <w:rPr/>
            </w:pPr>
            <w:r>
              <w:rPr>
                <w:rFonts w:ascii="Arial" w:hAnsi="Arial"/>
                <w:color w:val="1f2933"/>
                <w:sz w:val="17"/>
              </w:rPr>
              <w:t xml:space="preserve">References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7"/>
              </w:rPr>
              <w:t xml:space="preserve">26</w:t>
            </w:r>
            <w:r/>
          </w:p>
        </w:tc>
      </w:tr>
    </w:tbl>
    <w:p>
      <w:pPr>
        <w:widowControl w:val="true"/>
        <w:pBdr/>
        <w:spacing/>
        <w:ind/>
        <w:rPr/>
      </w:pPr>
      <w:r>
        <w:br w:type="page" w:clear="all"/>
      </w:r>
      <w:r/>
    </w:p>
    <w:p>
      <w:pPr>
        <w:pStyle w:val="715"/>
        <w:widowControl w:val="true"/>
        <w:pBdr/>
        <w:spacing/>
        <w:ind/>
        <w:rPr/>
      </w:pPr>
      <w:r>
        <w:t xml:space="preserve">Executive Summary</w:t>
      </w:r>
      <w:r/>
    </w:p>
    <w:p>
      <w:pPr>
        <w:pStyle w:val="874"/>
        <w:widowControl w:val="true"/>
        <w:pBdr/>
        <w:spacing/>
        <w:ind/>
        <w:rPr/>
      </w:pPr>
      <w:r>
        <w:t xml:space="preserve">Small businesses depend on email, cloud services, online banking, customer databases, mobile devices and thir</w:t>
      </w:r>
      <w:r>
        <w:t xml:space="preserve">d-party providers, but they often have limited cybersecurity staff and budgets. This combination makes a simple, clearly owned and rehearsed cybersecurity program essential. This report provides a complete baseline for a fictional organization called Brigh</w:t>
      </w:r>
      <w:r>
        <w:t xml:space="preserve">tPath Services, a 30-person small business with one office, remote workers, cloud email and collaboration, a customer relationship management system, accounting software, laptops, mobile devices, a public website and an outsourced managed service provider.</w:t>
      </w:r>
      <w:r/>
    </w:p>
    <w:p>
      <w:pPr>
        <w:pStyle w:val="874"/>
        <w:widowControl w:val="true"/>
        <w:pBdr/>
        <w:spacing/>
        <w:ind/>
        <w:rPr/>
      </w:pPr>
      <w:r>
        <w:t xml:space="preserve">The report uses th</w:t>
      </w:r>
      <w:r>
        <w:t xml:space="preserve">e six functions of the NIST Cybersecurity Framework 2.0—Govern, Identify, Protect, Detect, Respond and Recover—to organize cybersecurity outcomes. It also applies current NIST incident response guidance, which integrates response activities throughout cybe</w:t>
      </w:r>
      <w:r>
        <w:t xml:space="preserve">rsecurity risk management rather than treating incident response as a stand-alone technical activity. Small-business recommendations from CISA and breach-response guidance from the FTC are used to make the controls practical and leadership-focused [1]-[7].</w:t>
      </w:r>
      <w:r/>
    </w:p>
    <w:p>
      <w:pPr>
        <w:pStyle w:val="874"/>
        <w:widowControl w:val="true"/>
        <w:pBdr/>
        <w:spacing/>
        <w:ind/>
        <w:rPr/>
      </w:pPr>
      <w:r>
        <w:t xml:space="preserve">The proposed program establishes policy ownership, asset and data inventories, access controls, multi-factor authenticat</w:t>
      </w:r>
      <w:r>
        <w:t xml:space="preserve">ion, secure configuration, patching, backups, employee awareness, vendor oversight, logging, incident reporting and tested recovery procedures. It defines four incident severity levels and assigns decision-making roles to the incident coordinator, IT lead,</w:t>
      </w:r>
      <w:r>
        <w:t xml:space="preserve"> business owner, legal/privacy adviser, communications lead, human resources and external providers. Detailed playbooks are included for phishing and business email compromise, ransomware, a lost laptop, accidental cloud data exposure and a website outage.</w:t>
      </w:r>
      <w:r/>
    </w:p>
    <w:p>
      <w:pPr>
        <w:pStyle w:val="874"/>
        <w:widowControl w:val="true"/>
        <w:pBdr/>
        <w:spacing/>
        <w:ind/>
        <w:rPr/>
      </w:pPr>
      <w:r>
        <w:t xml:space="preserve">The central recommendation is that BrightPath should implement a minimum viable security baseline in the first 30 days: approve the policies, inventory critical a</w:t>
      </w:r>
      <w:r>
        <w:t xml:space="preserve">ssets, enforce multi-factor authentication, verify protected backups, establish an incident contact list, configure endpoint protection and deliver phishing training. In days 31-90, the business should strengthen monitoring, vendor management, patch compli</w:t>
      </w:r>
      <w:r>
        <w:t xml:space="preserve">ance, recovery testing and tabletop exercises. Success should be measured through a small set of indicators, such as MFA coverage, patch compliance, backup restore success, phishing reporting time, incident detection time and closure of corrective actions.</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9eaf7"/>
            <w:tcBorders>
              <w:top w:val="single" w:color="2f75b5" w:sz="14" w:space="0"/>
              <w:left w:val="single" w:color="2f75b5" w:sz="14" w:space="0"/>
              <w:bottom w:val="single" w:color="2f75b5" w:sz="6" w:space="0"/>
              <w:right w:val="single" w:color="2f75b5" w:sz="6" w:space="0"/>
            </w:tcBorders>
            <w:tcMar>
              <w:left w:w="160" w:type="dxa"/>
              <w:top w:w="120" w:type="dxa"/>
              <w:right w:w="140" w:type="dxa"/>
              <w:bottom w:w="120" w:type="dxa"/>
            </w:tcMar>
            <w:tcW w:w="9936" w:type="dxa"/>
          </w:tcPr>
          <w:p>
            <w:pPr>
              <w:pBdr/>
              <w:spacing/>
              <w:ind/>
              <w:rPr/>
            </w:pPr>
            <w:r>
              <w:rPr>
                <w:b/>
                <w:color w:val="17365d"/>
                <w:sz w:val="21"/>
              </w:rPr>
              <w:t xml:space="preserve">Key outcome</w:t>
            </w:r>
            <w:r/>
          </w:p>
          <w:p>
            <w:pPr>
              <w:pStyle w:val="877"/>
              <w:pBdr/>
              <w:spacing w:after="0"/>
              <w:ind/>
              <w:rPr/>
            </w:pPr>
            <w:r>
              <w:t xml:space="preserve">The business should be able to answer five questions at any time: What must we protect? Who is responsible? How will we detect a problem? What will we do in the first hour? How will we restore trusted operations?</w:t>
            </w:r>
            <w:r/>
          </w:p>
        </w:tc>
      </w:tr>
    </w:tbl>
    <w:p>
      <w:pPr>
        <w:widowControl w:val="true"/>
        <w:pBdr/>
        <w:spacing w:after="0"/>
        <w:ind/>
        <w:rPr/>
      </w:pPr>
      <w:r/>
      <w:r/>
    </w:p>
    <w:p>
      <w:pPr>
        <w:pStyle w:val="716"/>
        <w:widowControl w:val="true"/>
        <w:pBdr/>
        <w:spacing/>
        <w:ind/>
        <w:rPr/>
      </w:pPr>
      <w:r>
        <w:t xml:space="preserve">Project Objectives</w:t>
      </w:r>
      <w:r/>
    </w:p>
    <w:p>
      <w:pPr>
        <w:pStyle w:val="745"/>
        <w:widowControl w:val="true"/>
        <w:pBdr/>
        <w:spacing w:after="50"/>
        <w:ind/>
        <w:rPr/>
      </w:pPr>
      <w:r>
        <w:t xml:space="preserve">Create clear, understandable cybersecurity policies suitable for a small business.</w:t>
      </w:r>
      <w:r/>
    </w:p>
    <w:p>
      <w:pPr>
        <w:pStyle w:val="745"/>
        <w:widowControl w:val="true"/>
        <w:pBdr/>
        <w:spacing w:after="50"/>
        <w:ind/>
        <w:rPr/>
      </w:pPr>
      <w:r>
        <w:t xml:space="preserve">Identify major cyber risks and prioritize realistic safeguards.</w:t>
      </w:r>
      <w:r/>
    </w:p>
    <w:p>
      <w:pPr>
        <w:pStyle w:val="745"/>
        <w:widowControl w:val="true"/>
        <w:pBdr/>
        <w:spacing w:after="50"/>
        <w:ind/>
        <w:rPr/>
      </w:pPr>
      <w:r>
        <w:t xml:space="preserve">Define an incident response structure, escalation path and decision process.</w:t>
      </w:r>
      <w:r/>
    </w:p>
    <w:p>
      <w:pPr>
        <w:pStyle w:val="745"/>
        <w:widowControl w:val="true"/>
        <w:pBdr/>
        <w:spacing w:after="50"/>
        <w:ind/>
        <w:rPr/>
      </w:pPr>
      <w:r>
        <w:t xml:space="preserve">Provide step-by-step playbooks for common incident scenarios.</w:t>
      </w:r>
      <w:r/>
    </w:p>
    <w:p>
      <w:pPr>
        <w:pStyle w:val="745"/>
        <w:widowControl w:val="true"/>
        <w:pBdr/>
        <w:spacing w:after="50"/>
        <w:ind/>
        <w:rPr/>
      </w:pPr>
      <w:r>
        <w:t xml:space="preserve">Create reusable forms, checklists and templates for operational use.</w:t>
      </w:r>
      <w:r/>
    </w:p>
    <w:p>
      <w:pPr>
        <w:pStyle w:val="745"/>
        <w:widowControl w:val="true"/>
        <w:pBdr/>
        <w:spacing w:after="50"/>
        <w:ind/>
        <w:rPr/>
      </w:pPr>
      <w:r>
        <w:t xml:space="preserve">Produce a phased implementation roadmap that can be completed with limited staff and budget.</w:t>
      </w:r>
      <w:r/>
    </w:p>
    <w:p>
      <w:pPr>
        <w:pStyle w:val="716"/>
        <w:widowControl w:val="true"/>
        <w:pBdr/>
        <w:spacing/>
        <w:ind/>
        <w:rPr/>
      </w:pPr>
      <w:r>
        <w:t xml:space="preserve">Project Deliverables and 20-Hour Work Plan</w:t>
      </w:r>
      <w:r/>
    </w:p>
    <w:tbl>
      <w:tblPr>
        <w:jc w:val="center"/>
        <w:tblW w:w="0" w:type="auto"/>
        <w:tblBorders/>
        <w:tblLayout w:type="fixed"/>
        <w:tblLook w:val="04A0" w:firstRow="1" w:lastRow="0" w:firstColumn="1" w:lastColumn="0" w:noHBand="0" w:noVBand="1"/>
      </w:tblPr>
      <w:tblGrid>
        <w:gridCol w:w="3312"/>
        <w:gridCol w:w="3312"/>
        <w:gridCol w:w="3312"/>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608" w:type="dxa"/>
            <w:vAlign w:val="center"/>
          </w:tcPr>
          <w:p>
            <w:pPr>
              <w:pBdr/>
              <w:spacing/>
              <w:ind/>
              <w:jc w:val="center"/>
              <w:rPr/>
            </w:pPr>
            <w:r>
              <w:rPr>
                <w:rFonts w:ascii="Arial" w:hAnsi="Arial"/>
                <w:b/>
                <w:color w:val="ffffff"/>
                <w:sz w:val="17"/>
              </w:rPr>
              <w:t xml:space="preserve">Activity</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ind/>
              <w:jc w:val="center"/>
              <w:rPr/>
            </w:pPr>
            <w:r>
              <w:rPr>
                <w:rFonts w:ascii="Arial" w:hAnsi="Arial"/>
                <w:b/>
                <w:color w:val="ffffff"/>
                <w:sz w:val="17"/>
              </w:rPr>
              <w:t xml:space="preserve">Hours</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032" w:type="dxa"/>
            <w:vAlign w:val="center"/>
          </w:tcPr>
          <w:p>
            <w:pPr>
              <w:pBdr/>
              <w:spacing/>
              <w:ind/>
              <w:jc w:val="center"/>
              <w:rPr/>
            </w:pPr>
            <w:r>
              <w:rPr>
                <w:rFonts w:ascii="Arial" w:hAnsi="Arial"/>
                <w:b/>
                <w:color w:val="ffffff"/>
                <w:sz w:val="17"/>
              </w:rPr>
              <w:t xml:space="preserve">Output</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608" w:type="dxa"/>
            <w:vAlign w:val="center"/>
          </w:tcPr>
          <w:p>
            <w:pPr>
              <w:pBdr/>
              <w:spacing w:after="30"/>
              <w:ind/>
              <w:rPr/>
            </w:pPr>
            <w:r>
              <w:rPr>
                <w:rFonts w:ascii="Arial" w:hAnsi="Arial"/>
                <w:color w:val="1f2933"/>
                <w:sz w:val="17"/>
              </w:rPr>
              <w:t xml:space="preserve">Review recognized guidance and define assumptions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7"/>
              </w:rPr>
              <w:t xml:space="preserve">3</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032" w:type="dxa"/>
            <w:vAlign w:val="center"/>
          </w:tcPr>
          <w:p>
            <w:pPr>
              <w:pBdr/>
              <w:spacing w:after="30"/>
              <w:ind/>
              <w:rPr/>
            </w:pPr>
            <w:r>
              <w:rPr>
                <w:rFonts w:ascii="Arial" w:hAnsi="Arial"/>
                <w:color w:val="1f2933"/>
                <w:sz w:val="17"/>
              </w:rPr>
              <w:t xml:space="preserve">Source list, scope and framework</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608" w:type="dxa"/>
            <w:vAlign w:val="center"/>
          </w:tcPr>
          <w:p>
            <w:pPr>
              <w:pBdr/>
              <w:spacing w:after="30"/>
              <w:ind/>
              <w:rPr/>
            </w:pPr>
            <w:r>
              <w:rPr>
                <w:rFonts w:ascii="Arial" w:hAnsi="Arial"/>
                <w:color w:val="1f2933"/>
                <w:sz w:val="17"/>
              </w:rPr>
              <w:t xml:space="preserve">Create business profile and risk assessment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7"/>
              </w:rPr>
              <w:t xml:space="preserve">3</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032" w:type="dxa"/>
            <w:vAlign w:val="center"/>
          </w:tcPr>
          <w:p>
            <w:pPr>
              <w:pBdr/>
              <w:spacing w:after="30"/>
              <w:ind/>
              <w:rPr/>
            </w:pPr>
            <w:r>
              <w:rPr>
                <w:rFonts w:ascii="Arial" w:hAnsi="Arial"/>
                <w:color w:val="1f2933"/>
                <w:sz w:val="17"/>
              </w:rPr>
              <w:t xml:space="preserve">Asset, data, threat and risk register</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608" w:type="dxa"/>
            <w:vAlign w:val="center"/>
          </w:tcPr>
          <w:p>
            <w:pPr>
              <w:pBdr/>
              <w:spacing w:after="30"/>
              <w:ind/>
              <w:rPr/>
            </w:pPr>
            <w:r>
              <w:rPr>
                <w:rFonts w:ascii="Arial" w:hAnsi="Arial"/>
                <w:color w:val="1f2933"/>
                <w:sz w:val="17"/>
              </w:rPr>
              <w:t xml:space="preserve">Draft cybersecurity policy suite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7"/>
              </w:rPr>
              <w:t xml:space="preserve">6</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032" w:type="dxa"/>
            <w:vAlign w:val="center"/>
          </w:tcPr>
          <w:p>
            <w:pPr>
              <w:pBdr/>
              <w:spacing w:after="30"/>
              <w:ind/>
              <w:rPr/>
            </w:pPr>
            <w:r>
              <w:rPr>
                <w:rFonts w:ascii="Arial" w:hAnsi="Arial"/>
                <w:color w:val="1f2933"/>
                <w:sz w:val="17"/>
              </w:rPr>
              <w:t xml:space="preserve">Governance and operational policies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608" w:type="dxa"/>
            <w:vAlign w:val="center"/>
          </w:tcPr>
          <w:p>
            <w:pPr>
              <w:pBdr/>
              <w:spacing w:after="30"/>
              <w:ind/>
              <w:rPr/>
            </w:pPr>
            <w:r>
              <w:rPr>
                <w:rFonts w:ascii="Arial" w:hAnsi="Arial"/>
                <w:color w:val="1f2933"/>
                <w:sz w:val="17"/>
              </w:rPr>
              <w:t xml:space="preserve">Develop incident response plan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7"/>
              </w:rPr>
              <w:t xml:space="preserve">4</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032" w:type="dxa"/>
            <w:vAlign w:val="center"/>
          </w:tcPr>
          <w:p>
            <w:pPr>
              <w:pBdr/>
              <w:spacing w:after="30"/>
              <w:ind/>
              <w:rPr/>
            </w:pPr>
            <w:r>
              <w:rPr>
                <w:rFonts w:ascii="Arial" w:hAnsi="Arial"/>
                <w:color w:val="1f2933"/>
                <w:sz w:val="17"/>
              </w:rPr>
              <w:t xml:space="preserve">Roles, severity, process, communications and evidence handling</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608" w:type="dxa"/>
            <w:vAlign w:val="center"/>
          </w:tcPr>
          <w:p>
            <w:pPr>
              <w:pBdr/>
              <w:spacing w:after="30"/>
              <w:ind/>
              <w:rPr/>
            </w:pPr>
            <w:r>
              <w:rPr>
                <w:rFonts w:ascii="Arial" w:hAnsi="Arial"/>
                <w:color w:val="1f2933"/>
                <w:sz w:val="17"/>
              </w:rPr>
              <w:t xml:space="preserve">Develop scenarios and playbooks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7"/>
              </w:rPr>
              <w:t xml:space="preserve">2</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032" w:type="dxa"/>
            <w:vAlign w:val="center"/>
          </w:tcPr>
          <w:p>
            <w:pPr>
              <w:pBdr/>
              <w:spacing w:after="30"/>
              <w:ind/>
              <w:rPr/>
            </w:pPr>
            <w:r>
              <w:rPr>
                <w:rFonts w:ascii="Arial" w:hAnsi="Arial"/>
                <w:color w:val="1f2933"/>
                <w:sz w:val="17"/>
              </w:rPr>
              <w:t xml:space="preserve">Five practical scenarios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608" w:type="dxa"/>
            <w:vAlign w:val="center"/>
          </w:tcPr>
          <w:p>
            <w:pPr>
              <w:pBdr/>
              <w:spacing w:after="30"/>
              <w:ind/>
              <w:rPr/>
            </w:pPr>
            <w:r>
              <w:rPr>
                <w:rFonts w:ascii="Arial" w:hAnsi="Arial"/>
                <w:color w:val="1f2933"/>
                <w:sz w:val="17"/>
              </w:rPr>
              <w:t xml:space="preserve">Create roadmap, metrics and appendices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7"/>
              </w:rPr>
              <w:t xml:space="preserve">1</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032" w:type="dxa"/>
            <w:vAlign w:val="center"/>
          </w:tcPr>
          <w:p>
            <w:pPr>
              <w:pBdr/>
              <w:spacing w:after="30"/>
              <w:ind/>
              <w:rPr/>
            </w:pPr>
            <w:r>
              <w:rPr>
                <w:rFonts w:ascii="Arial" w:hAnsi="Arial"/>
                <w:color w:val="1f2933"/>
                <w:sz w:val="17"/>
              </w:rPr>
              <w:t xml:space="preserve">Implementation and reusable templates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608" w:type="dxa"/>
            <w:vAlign w:val="center"/>
          </w:tcPr>
          <w:p>
            <w:pPr>
              <w:pBdr/>
              <w:spacing w:after="30"/>
              <w:ind/>
              <w:rPr/>
            </w:pPr>
            <w:r>
              <w:rPr>
                <w:rFonts w:ascii="Arial" w:hAnsi="Arial"/>
                <w:color w:val="1f2933"/>
                <w:sz w:val="17"/>
              </w:rPr>
              <w:t xml:space="preserve">Quality review and formatting</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7"/>
              </w:rPr>
              <w:t xml:space="preserve">1</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032" w:type="dxa"/>
            <w:vAlign w:val="center"/>
          </w:tcPr>
          <w:p>
            <w:pPr>
              <w:pBdr/>
              <w:spacing w:after="30"/>
              <w:ind/>
              <w:rPr/>
            </w:pPr>
            <w:r>
              <w:rPr>
                <w:rFonts w:ascii="Arial" w:hAnsi="Arial"/>
                <w:color w:val="1f2933"/>
                <w:sz w:val="17"/>
              </w:rPr>
              <w:t xml:space="preserve">Final internship report</w:t>
            </w:r>
            <w:r/>
          </w:p>
        </w:tc>
      </w:tr>
    </w:tbl>
    <w:p>
      <w:pPr>
        <w:pStyle w:val="715"/>
        <w:widowControl w:val="true"/>
        <w:pBdr/>
        <w:spacing/>
        <w:ind/>
        <w:rPr/>
      </w:pPr>
      <w:r>
        <w:t xml:space="preserve">1. Introduction</w:t>
      </w:r>
      <w:r/>
    </w:p>
    <w:p>
      <w:pPr>
        <w:pStyle w:val="716"/>
        <w:widowControl w:val="true"/>
        <w:pBdr/>
        <w:spacing/>
        <w:ind/>
        <w:rPr/>
      </w:pPr>
      <w:r>
        <w:t xml:space="preserve">1.1 Background</w:t>
      </w:r>
      <w:r/>
    </w:p>
    <w:p>
      <w:pPr>
        <w:widowControl w:val="true"/>
        <w:pBdr/>
        <w:spacing/>
        <w:ind/>
        <w:rPr/>
      </w:pPr>
      <w:r>
        <w:t xml:space="preserve">Cybersecurity is the management of risks to information, technology, people and business operations arising from unauthorized access, misuse, disruption, alteration or des</w:t>
      </w:r>
      <w:r>
        <w:t xml:space="preserve">truction. For a small business, cybersecurity is not only an IT concern. A successful attack can interrupt sales, prevent staff from working, expose personal information, redirect payments, damage customer trust and create legal or contractual obligations.</w:t>
      </w:r>
      <w:r/>
    </w:p>
    <w:p>
      <w:pPr>
        <w:widowControl w:val="true"/>
        <w:pBdr/>
        <w:spacing/>
        <w:ind/>
        <w:rPr/>
      </w:pPr>
      <w:r>
        <w:t xml:space="preserve">A policy describes the rules and responsibilities that the organization expects people and technology to follow. An incident response plan describes how the organizat</w:t>
      </w:r>
      <w:r>
        <w:t xml:space="preserve">ion will prepare for, detect, assess, contain, eradicate, recover from and learn from a cybersecurity incident. The two must work together: policy reduces the probability and impact of incidents, while the response plan limits damage when prevention fails.</w:t>
      </w:r>
      <w:r/>
    </w:p>
    <w:p>
      <w:pPr>
        <w:pStyle w:val="716"/>
        <w:widowControl w:val="true"/>
        <w:pBdr/>
        <w:spacing/>
        <w:ind/>
        <w:rPr/>
      </w:pPr>
      <w:r>
        <w:t xml:space="preserve">1.2 Framework Used</w:t>
      </w:r>
      <w:r/>
    </w:p>
    <w:p>
      <w:pPr>
        <w:widowControl w:val="true"/>
        <w:pBdr/>
        <w:spacing/>
        <w:ind/>
        <w:rPr/>
      </w:pPr>
      <w:r>
        <w:t xml:space="preserve">This report is organized around the NIST Cybersecurity Framework (CSF) 2.0. CSF 2.0 is intended for organizations of any size and uses six high-level functions: Govern, Identify, Protect, Detect, Respond and Recover [1]. </w:t>
      </w:r>
      <w:r>
        <w:t xml:space="preserve">The added Govern function makes leadership, risk strategy, policy, roles and supply-chain oversight explicit. NIST’s Small Business Quick-Start Guide provides a practical way for organizations with modest security programs to begin using the framework [2].</w:t>
      </w:r>
      <w:r/>
    </w:p>
    <w:p>
      <w:pPr>
        <w:widowControl w:val="true"/>
        <w:pBdr/>
        <w:spacing/>
        <w:ind/>
        <w:rPr/>
      </w:pPr>
      <w:r>
        <w:t xml:space="preserve">The incident re</w:t>
      </w:r>
      <w:r>
        <w:t xml:space="preserve">sponse portion reflects NIST SP 800-61 Revision 3, finalized in 2025. The publication recommends incorporating incident response throughout cybersecurity risk management so that preparation, detection, response and recovery continuously improve one another</w:t>
      </w:r>
      <w:r>
        <w:t xml:space="preserve"> [3]. CISA’s small-business guidance reinforces leadership accountability and practical actions, while FTC guidance emphasizes securing operations, preserving evidence, correcting vulnerabilities and making appropriate notifications after a breach [4]-[7].</w:t>
      </w:r>
      <w:r/>
    </w:p>
    <w:p>
      <w:pPr>
        <w:pStyle w:val="716"/>
        <w:widowControl w:val="true"/>
        <w:pBdr/>
        <w:spacing/>
        <w:ind/>
        <w:rPr/>
      </w:pPr>
      <w:r>
        <w:t xml:space="preserve">1.3 Scope</w:t>
      </w:r>
      <w:r/>
    </w:p>
    <w:p>
      <w:pPr>
        <w:widowControl w:val="true"/>
        <w:pBdr/>
        <w:spacing/>
        <w:ind/>
        <w:rPr/>
      </w:pPr>
      <w:r>
        <w:t xml:space="preserve">The report applies to all employees, contractors, interns, volunteers, temporary workers and third parties who access Br</w:t>
      </w:r>
      <w:r>
        <w:t xml:space="preserve">ightPath information or systems. It covers company-owned and authorized personal devices; cloud services; email; networks; applications; backups; physical records; customer and employee information; and services operated by vendors on the company’s behalf.</w:t>
      </w:r>
      <w:r/>
    </w:p>
    <w:p>
      <w:pPr>
        <w:widowControl w:val="true"/>
        <w:pBdr/>
        <w:spacing/>
        <w:ind/>
        <w:rPr/>
      </w:pPr>
      <w:r>
        <w:t xml:space="preserve">The plan addresses cybersecurity incidents that threaten confidentiality, integrity or availability. Examples include phishing, account compromise, malware, ransomware, unauthorized disclosure, lost devices</w:t>
      </w:r>
      <w:r>
        <w:t xml:space="preserve">, insider misuse, service outages, website attacks and third-party compromises. Workplace safety emergencies, natural disasters and general business continuity are outside the primary scope, but the recovery sections should be coordinated with those plans.</w:t>
      </w:r>
      <w:r/>
    </w:p>
    <w:p>
      <w:pPr>
        <w:pStyle w:val="716"/>
        <w:widowControl w:val="true"/>
        <w:pBdr/>
        <w:spacing/>
        <w:ind/>
        <w:rPr/>
      </w:pPr>
      <w:r>
        <w:t xml:space="preserve">1.4 Assumptions About the Example Business</w:t>
      </w:r>
      <w:r/>
    </w:p>
    <w:tbl>
      <w:tblPr>
        <w:jc w:val="center"/>
        <w:tblW w:w="0" w:type="auto"/>
        <w:tblBorders/>
        <w:tblLayout w:type="fixed"/>
        <w:tblLook w:val="04A0" w:firstRow="1" w:lastRow="0" w:firstColumn="1" w:lastColumn="0" w:noHBand="0" w:noVBand="1"/>
      </w:tblPr>
      <w:tblGrid>
        <w:gridCol w:w="4968"/>
        <w:gridCol w:w="4968"/>
      </w:tblGrid>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1f2933"/>
                <w:sz w:val="17"/>
              </w:rPr>
              <w:t xml:space="preserve">Business name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7"/>
              </w:rPr>
              <w:t xml:space="preserve">BrightPath Services (fictional)</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1f2933"/>
                <w:sz w:val="17"/>
              </w:rPr>
              <w:t xml:space="preserve">Size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7"/>
              </w:rPr>
              <w:t xml:space="preserve">30 employees and several contractors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1f2933"/>
                <w:sz w:val="17"/>
              </w:rPr>
              <w:t xml:space="preserve">Locations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7"/>
              </w:rPr>
              <w:t xml:space="preserve">One office plus hybrid/remote work</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1f2933"/>
                <w:sz w:val="17"/>
              </w:rPr>
              <w:t xml:space="preserve">Core systems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7"/>
              </w:rPr>
              <w:t xml:space="preserve">Cloud email and collaboration, CRM, accounting, website, online banking, endpoint devices and cloud file storage</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1f2933"/>
                <w:sz w:val="17"/>
              </w:rPr>
              <w:t xml:space="preserve">Sensitive information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7"/>
              </w:rPr>
              <w:t xml:space="preserve">Customer contact data, invoices, employee records, contracts, authentication data and limited payment-related information</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1f2933"/>
                <w:sz w:val="17"/>
              </w:rPr>
              <w:t xml:space="preserve">IT model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7"/>
              </w:rPr>
              <w:t xml:space="preserve">One internal IT coordinator supported by a managed service provider</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1f2933"/>
                <w:sz w:val="17"/>
              </w:rPr>
              <w:t xml:space="preserve">Critical operational dependency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7"/>
              </w:rPr>
              <w:t xml:space="preserve">Email, customer records, accounting, internet access and cloud file storage</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1f2933"/>
                <w:sz w:val="17"/>
              </w:rPr>
              <w:t xml:space="preserve">Risk tolerance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7"/>
              </w:rPr>
              <w:t xml:space="preserve">Low tolerance for personal-data exposure, fraud and outages longer than one business day</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b/>
                <w:color w:val="1f2933"/>
                <w:sz w:val="17"/>
              </w:rPr>
              <w:t xml:space="preserve">Legal applicability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768" w:type="dxa"/>
            <w:vAlign w:val="center"/>
          </w:tcPr>
          <w:p>
            <w:pPr>
              <w:pBdr/>
              <w:spacing w:after="30"/>
              <w:ind/>
              <w:rPr/>
            </w:pPr>
            <w:r>
              <w:rPr>
                <w:rFonts w:ascii="Arial" w:hAnsi="Arial"/>
                <w:color w:val="1f2933"/>
                <w:sz w:val="17"/>
              </w:rPr>
              <w:t xml:space="preserve">Must be customized for the country, province/state, industry, contracts and insurance policy</w:t>
            </w:r>
            <w:r/>
          </w:p>
        </w:tc>
      </w:tr>
    </w:tbl>
    <w:tbl>
      <w:tblPr>
        <w:jc w:val="center"/>
        <w:tblW w:w="0" w:type="auto"/>
        <w:tblBorders/>
        <w:tblLayout w:type="fixed"/>
        <w:tblLook w:val="04A0" w:firstRow="1" w:lastRow="0" w:firstColumn="1" w:lastColumn="0" w:noHBand="0" w:noVBand="1"/>
      </w:tblPr>
      <w:tblGrid>
        <w:gridCol w:w="9936"/>
      </w:tblGrid>
      <w:tr>
        <w:trPr>
          <w:cantSplit/>
        </w:trPr>
        <w:tc>
          <w:tcPr>
            <w:shd w:val="clear" w:color="auto" w:fill="d9eaf7"/>
            <w:tcBorders>
              <w:top w:val="single" w:color="2f75b5" w:sz="14" w:space="0"/>
              <w:left w:val="single" w:color="2f75b5" w:sz="14" w:space="0"/>
              <w:bottom w:val="single" w:color="2f75b5" w:sz="6" w:space="0"/>
              <w:right w:val="single" w:color="2f75b5" w:sz="6" w:space="0"/>
            </w:tcBorders>
            <w:tcMar>
              <w:left w:w="160" w:type="dxa"/>
              <w:top w:w="120" w:type="dxa"/>
              <w:right w:w="140" w:type="dxa"/>
              <w:bottom w:w="120" w:type="dxa"/>
            </w:tcMar>
            <w:tcW w:w="9936" w:type="dxa"/>
          </w:tcPr>
          <w:p>
            <w:pPr>
              <w:pBdr/>
              <w:spacing/>
              <w:ind/>
              <w:rPr/>
            </w:pPr>
            <w:r>
              <w:rPr>
                <w:b/>
                <w:color w:val="17365d"/>
                <w:sz w:val="21"/>
              </w:rPr>
              <w:t xml:space="preserve">Important legal note</w:t>
            </w:r>
            <w:r/>
          </w:p>
          <w:p>
            <w:pPr>
              <w:pStyle w:val="877"/>
              <w:pBdr/>
              <w:spacing w:after="0"/>
              <w:ind/>
              <w:rPr/>
            </w:pPr>
            <w:r>
              <w:t xml:space="preserve">This is an educational and operational</w:t>
            </w:r>
            <w:r>
              <w:t xml:space="preserve"> template, not legal advice. Breach notification, record retention, employee monitoring, payment security and reporting obligations vary by jurisdiction and industry. The organization must obtain qualified legal and privacy advice before adopting the plan.</w:t>
            </w:r>
            <w:r/>
          </w:p>
        </w:tc>
      </w:tr>
    </w:tbl>
    <w:p>
      <w:pPr>
        <w:widowControl w:val="true"/>
        <w:pBdr/>
        <w:spacing w:after="0"/>
        <w:ind/>
        <w:rPr/>
      </w:pPr>
      <w:r/>
      <w:r/>
    </w:p>
    <w:p>
      <w:pPr>
        <w:pStyle w:val="715"/>
        <w:widowControl w:val="true"/>
        <w:pBdr/>
        <w:spacing/>
        <w:ind/>
        <w:rPr/>
      </w:pPr>
      <w:r>
        <w:t xml:space="preserve">2. Business Context and Risk Assessment</w:t>
      </w:r>
      <w:r/>
    </w:p>
    <w:p>
      <w:pPr>
        <w:pStyle w:val="716"/>
        <w:widowControl w:val="true"/>
        <w:pBdr/>
        <w:spacing/>
        <w:ind/>
        <w:rPr/>
      </w:pPr>
      <w:r>
        <w:t xml:space="preserve">2.1 Critical Assets and Business Services</w:t>
      </w:r>
      <w:r/>
    </w:p>
    <w:p>
      <w:pPr>
        <w:widowControl w:val="true"/>
        <w:pBdr/>
        <w:spacing/>
        <w:ind/>
        <w:rPr/>
      </w:pPr>
      <w:r>
        <w:t xml:space="preserve">The business cannot protect what it has not identified. BrightPath should maintain an asset inventory that records the owner, location, purpose, operating system or service version, support statu</w:t>
      </w:r>
      <w:r>
        <w:t xml:space="preserve">s, data handled, criticality and recovery requirement for each important asset. The inventory should include physical devices, software, cloud subscriptions, privileged accounts, internet domains, certificates, network equipment, backups and key suppliers.</w:t>
      </w:r>
      <w:r/>
    </w:p>
    <w:tbl>
      <w:tblPr>
        <w:jc w:val="center"/>
        <w:tblW w:w="0" w:type="auto"/>
        <w:tblBorders/>
        <w:tblLayout w:type="fixed"/>
        <w:tblLook w:val="04A0" w:firstRow="1" w:lastRow="0" w:firstColumn="1" w:lastColumn="0" w:noHBand="0" w:noVBand="1"/>
      </w:tblPr>
      <w:tblGrid>
        <w:gridCol w:w="1987"/>
        <w:gridCol w:w="1987"/>
        <w:gridCol w:w="1987"/>
        <w:gridCol w:w="1987"/>
        <w:gridCol w:w="1987"/>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944" w:type="dxa"/>
            <w:vAlign w:val="center"/>
          </w:tcPr>
          <w:p>
            <w:pPr>
              <w:pBdr/>
              <w:spacing/>
              <w:ind/>
              <w:jc w:val="center"/>
              <w:rPr/>
            </w:pPr>
            <w:r>
              <w:rPr>
                <w:rFonts w:ascii="Arial" w:hAnsi="Arial"/>
                <w:b/>
                <w:color w:val="ffffff"/>
                <w:sz w:val="15"/>
              </w:rPr>
              <w:t xml:space="preserve">Asset / service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ind/>
              <w:jc w:val="center"/>
              <w:rPr/>
            </w:pPr>
            <w:r>
              <w:rPr>
                <w:rFonts w:ascii="Arial" w:hAnsi="Arial"/>
                <w:b/>
                <w:color w:val="ffffff"/>
                <w:sz w:val="15"/>
              </w:rPr>
              <w:t xml:space="preserve">Business purpose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ind/>
              <w:jc w:val="center"/>
              <w:rPr/>
            </w:pPr>
            <w:r>
              <w:rPr>
                <w:rFonts w:ascii="Arial" w:hAnsi="Arial"/>
                <w:b/>
                <w:color w:val="ffffff"/>
                <w:sz w:val="15"/>
              </w:rPr>
              <w:t xml:space="preserve">Data handled</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ind/>
              <w:jc w:val="center"/>
              <w:rPr/>
            </w:pPr>
            <w:r>
              <w:rPr>
                <w:rFonts w:ascii="Arial" w:hAnsi="Arial"/>
                <w:b/>
                <w:color w:val="ffffff"/>
                <w:sz w:val="15"/>
              </w:rPr>
              <w:t xml:space="preserve">Criticality</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ind/>
              <w:jc w:val="center"/>
              <w:rPr/>
            </w:pPr>
            <w:r>
              <w:rPr>
                <w:rFonts w:ascii="Arial" w:hAnsi="Arial"/>
                <w:b/>
                <w:color w:val="ffffff"/>
                <w:sz w:val="15"/>
              </w:rPr>
              <w:t xml:space="preserve">Target recovery</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944" w:type="dxa"/>
            <w:vAlign w:val="center"/>
          </w:tcPr>
          <w:p>
            <w:pPr>
              <w:pBdr/>
              <w:spacing w:after="30"/>
              <w:ind/>
              <w:rPr/>
            </w:pPr>
            <w:r>
              <w:rPr>
                <w:rFonts w:ascii="Arial" w:hAnsi="Arial"/>
                <w:color w:val="1f2933"/>
                <w:sz w:val="15"/>
              </w:rPr>
              <w:t xml:space="preserve">Cloud email and collaboration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color w:val="1f2933"/>
                <w:sz w:val="15"/>
              </w:rPr>
              <w:t xml:space="preserve">Communication, files and meetings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Customer, employee and business information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5"/>
              </w:rPr>
              <w:t xml:space="preserve">Critical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5"/>
              </w:rPr>
              <w:t xml:space="preserve">4 hours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944" w:type="dxa"/>
            <w:vAlign w:val="center"/>
          </w:tcPr>
          <w:p>
            <w:pPr>
              <w:pBdr/>
              <w:spacing w:after="30"/>
              <w:ind/>
              <w:rPr/>
            </w:pPr>
            <w:r>
              <w:rPr>
                <w:rFonts w:ascii="Arial" w:hAnsi="Arial"/>
                <w:color w:val="1f2933"/>
                <w:sz w:val="15"/>
              </w:rPr>
              <w:t xml:space="preserve">CRM</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color w:val="1f2933"/>
                <w:sz w:val="15"/>
              </w:rPr>
              <w:t xml:space="preserve">Customer records and sales activity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Customer contact and interaction data</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5"/>
              </w:rPr>
              <w:t xml:space="preserve">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5"/>
              </w:rPr>
              <w:t xml:space="preserve">8 hours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944" w:type="dxa"/>
            <w:vAlign w:val="center"/>
          </w:tcPr>
          <w:p>
            <w:pPr>
              <w:pBdr/>
              <w:spacing w:after="30"/>
              <w:ind/>
              <w:rPr/>
            </w:pPr>
            <w:r>
              <w:rPr>
                <w:rFonts w:ascii="Arial" w:hAnsi="Arial"/>
                <w:color w:val="1f2933"/>
                <w:sz w:val="15"/>
              </w:rPr>
              <w:t xml:space="preserve">Accounting and online banking</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color w:val="1f2933"/>
                <w:sz w:val="15"/>
              </w:rPr>
              <w:t xml:space="preserve">Invoices, payroll, payments and reconciliation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Financial and employee data</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5"/>
              </w:rPr>
              <w:t xml:space="preserve">Critical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5"/>
              </w:rPr>
              <w:t xml:space="preserve">4 hours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944" w:type="dxa"/>
            <w:vAlign w:val="center"/>
          </w:tcPr>
          <w:p>
            <w:pPr>
              <w:pBdr/>
              <w:spacing w:after="30"/>
              <w:ind/>
              <w:rPr/>
            </w:pPr>
            <w:r>
              <w:rPr>
                <w:rFonts w:ascii="Arial" w:hAnsi="Arial"/>
                <w:color w:val="1f2933"/>
                <w:sz w:val="15"/>
              </w:rPr>
              <w:t xml:space="preserve">Endpoint laptops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color w:val="1f2933"/>
                <w:sz w:val="15"/>
              </w:rPr>
              <w:t xml:space="preserve">Daily work and access to cloud systems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Cached files, credentials and business data</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5"/>
              </w:rPr>
              <w:t xml:space="preserve">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5"/>
              </w:rPr>
              <w:t xml:space="preserve">1 business day</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944" w:type="dxa"/>
            <w:vAlign w:val="center"/>
          </w:tcPr>
          <w:p>
            <w:pPr>
              <w:pBdr/>
              <w:spacing w:after="30"/>
              <w:ind/>
              <w:rPr/>
            </w:pPr>
            <w:r>
              <w:rPr>
                <w:rFonts w:ascii="Arial" w:hAnsi="Arial"/>
                <w:color w:val="1f2933"/>
                <w:sz w:val="15"/>
              </w:rPr>
              <w:t xml:space="preserve">Public website and domain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color w:val="1f2933"/>
                <w:sz w:val="15"/>
              </w:rPr>
              <w:t xml:space="preserve">Marketing, enquiries and customer trust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Public content and enquiry data</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5"/>
              </w:rPr>
              <w:t xml:space="preserve">Medium</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5"/>
              </w:rPr>
              <w:t xml:space="preserve">1 business day</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944" w:type="dxa"/>
            <w:vAlign w:val="center"/>
          </w:tcPr>
          <w:p>
            <w:pPr>
              <w:pBdr/>
              <w:spacing w:after="30"/>
              <w:ind/>
              <w:rPr/>
            </w:pPr>
            <w:r>
              <w:rPr>
                <w:rFonts w:ascii="Arial" w:hAnsi="Arial"/>
                <w:color w:val="1f2933"/>
                <w:sz w:val="15"/>
              </w:rPr>
              <w:t xml:space="preserve">Cloud file storage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color w:val="1f2933"/>
                <w:sz w:val="15"/>
              </w:rPr>
              <w:t xml:space="preserve">Shared documents and operational records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Contracts, procedures and business records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5"/>
              </w:rPr>
              <w:t xml:space="preserve">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5"/>
              </w:rPr>
              <w:t xml:space="preserve">8 hours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944" w:type="dxa"/>
            <w:vAlign w:val="center"/>
          </w:tcPr>
          <w:p>
            <w:pPr>
              <w:pBdr/>
              <w:spacing w:after="30"/>
              <w:ind/>
              <w:rPr/>
            </w:pPr>
            <w:r>
              <w:rPr>
                <w:rFonts w:ascii="Arial" w:hAnsi="Arial"/>
                <w:color w:val="1f2933"/>
                <w:sz w:val="15"/>
              </w:rPr>
              <w:t xml:space="preserve">Backups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color w:val="1f2933"/>
                <w:sz w:val="15"/>
              </w:rPr>
              <w:t xml:space="preserve">Recovery of systems and information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Copies of critical data</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5"/>
              </w:rPr>
              <w:t xml:space="preserve">Critical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5"/>
              </w:rPr>
              <w:t xml:space="preserve">Must be available during incidents</w:t>
            </w:r>
            <w:r/>
          </w:p>
        </w:tc>
      </w:tr>
    </w:tbl>
    <w:p>
      <w:pPr>
        <w:pStyle w:val="716"/>
        <w:widowControl w:val="true"/>
        <w:pBdr/>
        <w:spacing/>
        <w:ind/>
        <w:rPr/>
      </w:pPr>
      <w:r>
        <w:t xml:space="preserve">2.2 Data Classification</w:t>
      </w:r>
      <w:r/>
    </w:p>
    <w:p>
      <w:pPr>
        <w:widowControl w:val="true"/>
        <w:pBdr/>
        <w:spacing/>
        <w:ind/>
        <w:rPr/>
      </w:pPr>
      <w:r>
        <w:t xml:space="preserve">A simple classification model helps staff choose appropriate handling controls. Classification should be based on the harm that unauthorized disclosure, alteration or loss could cause.</w:t>
      </w:r>
      <w:r/>
    </w:p>
    <w:tbl>
      <w:tblPr>
        <w:jc w:val="center"/>
        <w:tblW w:w="0" w:type="auto"/>
        <w:tblBorders/>
        <w:tblLayout w:type="fixed"/>
        <w:tblLook w:val="04A0" w:firstRow="1" w:lastRow="0" w:firstColumn="1" w:lastColumn="0" w:noHBand="0" w:noVBand="1"/>
      </w:tblPr>
      <w:tblGrid>
        <w:gridCol w:w="2484"/>
        <w:gridCol w:w="2484"/>
        <w:gridCol w:w="2484"/>
        <w:gridCol w:w="2484"/>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ind/>
              <w:jc w:val="center"/>
              <w:rPr/>
            </w:pPr>
            <w:r>
              <w:rPr>
                <w:rFonts w:ascii="Arial" w:hAnsi="Arial"/>
                <w:b/>
                <w:color w:val="ffffff"/>
                <w:sz w:val="16"/>
              </w:rPr>
              <w:t xml:space="preserve">Class</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ind/>
              <w:jc w:val="center"/>
              <w:rPr/>
            </w:pPr>
            <w:r>
              <w:rPr>
                <w:rFonts w:ascii="Arial" w:hAnsi="Arial"/>
                <w:b/>
                <w:color w:val="ffffff"/>
                <w:sz w:val="16"/>
              </w:rPr>
              <w:t xml:space="preserve">Examples</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320" w:type="dxa"/>
            <w:vAlign w:val="center"/>
          </w:tcPr>
          <w:p>
            <w:pPr>
              <w:pBdr/>
              <w:spacing/>
              <w:ind/>
              <w:jc w:val="center"/>
              <w:rPr/>
            </w:pPr>
            <w:r>
              <w:rPr>
                <w:rFonts w:ascii="Arial" w:hAnsi="Arial"/>
                <w:b/>
                <w:color w:val="ffffff"/>
                <w:sz w:val="16"/>
              </w:rPr>
              <w:t xml:space="preserve">Handling requirements</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ind/>
              <w:jc w:val="center"/>
              <w:rPr/>
            </w:pPr>
            <w:r>
              <w:rPr>
                <w:rFonts w:ascii="Arial" w:hAnsi="Arial"/>
                <w:b/>
                <w:color w:val="ffffff"/>
                <w:sz w:val="16"/>
              </w:rPr>
              <w:t xml:space="preserve">Example label</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6"/>
              </w:rPr>
              <w:t xml:space="preserve">Public</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6"/>
              </w:rPr>
              <w:t xml:space="preserve">Approved website content, brochures, published job postings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320" w:type="dxa"/>
            <w:vAlign w:val="center"/>
          </w:tcPr>
          <w:p>
            <w:pPr>
              <w:pBdr/>
              <w:spacing w:after="30"/>
              <w:ind/>
              <w:rPr/>
            </w:pPr>
            <w:r>
              <w:rPr>
                <w:rFonts w:ascii="Arial" w:hAnsi="Arial"/>
                <w:color w:val="1f2933"/>
                <w:sz w:val="16"/>
              </w:rPr>
              <w:t xml:space="preserve">May be shared publicly after normal approval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6"/>
              </w:rPr>
              <w:t xml:space="preserve">PUBLIC</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6"/>
              </w:rPr>
              <w:t xml:space="preserve">Internal</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6"/>
              </w:rPr>
              <w:t xml:space="preserve">Routine procedures, internal schedules, general business correspondence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320" w:type="dxa"/>
            <w:vAlign w:val="center"/>
          </w:tcPr>
          <w:p>
            <w:pPr>
              <w:pBdr/>
              <w:spacing w:after="30"/>
              <w:ind/>
              <w:rPr/>
            </w:pPr>
            <w:r>
              <w:rPr>
                <w:rFonts w:ascii="Arial" w:hAnsi="Arial"/>
                <w:color w:val="1f2933"/>
                <w:sz w:val="16"/>
              </w:rPr>
              <w:t xml:space="preserve">Share only with authorized staff and trusted partners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6"/>
              </w:rPr>
              <w:t xml:space="preserve">INTERNAL</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6"/>
              </w:rPr>
              <w:t xml:space="preserve">Confidential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6"/>
              </w:rPr>
              <w:t xml:space="preserve">Customer records, contracts, pricing, employee files, financial reports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320" w:type="dxa"/>
            <w:vAlign w:val="center"/>
          </w:tcPr>
          <w:p>
            <w:pPr>
              <w:pBdr/>
              <w:spacing w:after="30"/>
              <w:ind/>
              <w:rPr/>
            </w:pPr>
            <w:r>
              <w:rPr>
                <w:rFonts w:ascii="Arial" w:hAnsi="Arial"/>
                <w:color w:val="1f2933"/>
                <w:sz w:val="16"/>
              </w:rPr>
              <w:t xml:space="preserve">Need-to-know access, encryption in transit, approved storage, controlled sharing</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6"/>
              </w:rPr>
              <w:t xml:space="preserve">CONFIDENTIAL</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6"/>
              </w:rPr>
              <w:t xml:space="preserve">Restricted</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6"/>
              </w:rPr>
              <w:t xml:space="preserve">Passwords, recovery codes, identity documents, banking details, security keys, incident evidence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320" w:type="dxa"/>
            <w:vAlign w:val="center"/>
          </w:tcPr>
          <w:p>
            <w:pPr>
              <w:pBdr/>
              <w:spacing w:after="30"/>
              <w:ind/>
              <w:rPr/>
            </w:pPr>
            <w:r>
              <w:rPr>
                <w:rFonts w:ascii="Arial" w:hAnsi="Arial"/>
                <w:color w:val="1f2933"/>
                <w:sz w:val="16"/>
              </w:rPr>
              <w:t xml:space="preserve">Strict least privilege, strong encryption, enhanced logging, no unapproved email or local copies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6"/>
              </w:rPr>
              <w:t xml:space="preserve">RESTRICTED</w:t>
            </w:r>
            <w:r/>
          </w:p>
        </w:tc>
      </w:tr>
    </w:tbl>
    <w:p>
      <w:pPr>
        <w:pStyle w:val="716"/>
        <w:widowControl w:val="true"/>
        <w:pBdr/>
        <w:spacing/>
        <w:ind/>
        <w:rPr/>
      </w:pPr>
      <w:r>
        <w:t xml:space="preserve">2.3 Threat and Risk Register</w:t>
      </w:r>
      <w:r/>
    </w:p>
    <w:p>
      <w:pPr>
        <w:widowControl w:val="true"/>
        <w:pBdr/>
        <w:spacing/>
        <w:ind/>
        <w:rPr/>
      </w:pPr>
      <w:r>
        <w:t xml:space="preserve">Risk</w:t>
      </w:r>
      <w:r>
        <w:t xml:space="preserve"> is assessed using likelihood and business impact. “Critical” and “High” risks require planned treatment and executive tracking. The register should be reviewed at least quarterly and whenever major systems, suppliers, business processes or threats change.</w:t>
      </w:r>
      <w:r/>
    </w:p>
    <w:tbl>
      <w:tblPr>
        <w:jc w:val="center"/>
        <w:tblW w:w="0" w:type="auto"/>
        <w:tblBorders/>
        <w:tblLayout w:type="fixed"/>
        <w:tblLook w:val="04A0" w:firstRow="1" w:lastRow="0" w:firstColumn="1" w:lastColumn="0" w:noHBand="0" w:noVBand="1"/>
      </w:tblPr>
      <w:tblGrid>
        <w:gridCol w:w="1656"/>
        <w:gridCol w:w="1656"/>
        <w:gridCol w:w="1656"/>
        <w:gridCol w:w="1656"/>
        <w:gridCol w:w="1656"/>
        <w:gridCol w:w="1656"/>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ind/>
              <w:jc w:val="center"/>
              <w:rPr/>
            </w:pPr>
            <w:r>
              <w:rPr>
                <w:rFonts w:ascii="Arial" w:hAnsi="Arial"/>
                <w:b/>
                <w:color w:val="ffffff"/>
                <w:sz w:val="14"/>
              </w:rPr>
              <w:t xml:space="preserve">Risk</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ind/>
              <w:jc w:val="center"/>
              <w:rPr/>
            </w:pPr>
            <w:r>
              <w:rPr>
                <w:rFonts w:ascii="Arial" w:hAnsi="Arial"/>
                <w:b/>
                <w:color w:val="ffffff"/>
                <w:sz w:val="14"/>
              </w:rPr>
              <w:t xml:space="preserve">Example cause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ind/>
              <w:jc w:val="center"/>
              <w:rPr/>
            </w:pPr>
            <w:r>
              <w:rPr>
                <w:rFonts w:ascii="Arial" w:hAnsi="Arial"/>
                <w:b/>
                <w:color w:val="ffffff"/>
                <w:sz w:val="14"/>
              </w:rPr>
              <w:t xml:space="preserve">Likelihood</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ind/>
              <w:jc w:val="center"/>
              <w:rPr/>
            </w:pPr>
            <w:r>
              <w:rPr>
                <w:rFonts w:ascii="Arial" w:hAnsi="Arial"/>
                <w:b/>
                <w:color w:val="ffffff"/>
                <w:sz w:val="14"/>
              </w:rPr>
              <w:t xml:space="preserve">Impact</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ind/>
              <w:jc w:val="center"/>
              <w:rPr/>
            </w:pPr>
            <w:r>
              <w:rPr>
                <w:rFonts w:ascii="Arial" w:hAnsi="Arial"/>
                <w:b/>
                <w:color w:val="ffffff"/>
                <w:sz w:val="14"/>
              </w:rPr>
              <w:t xml:space="preserve">Rating</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ind/>
              <w:jc w:val="center"/>
              <w:rPr/>
            </w:pPr>
            <w:r>
              <w:rPr>
                <w:rFonts w:ascii="Arial" w:hAnsi="Arial"/>
                <w:b/>
                <w:color w:val="ffffff"/>
                <w:sz w:val="14"/>
              </w:rPr>
              <w:t xml:space="preserve">Priority treatment</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Phishing / business email compromise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Credential theft, fake invoice or impersonation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High</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High</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Critical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MFA, training, payment verification, email controls and rapid reporting</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Ransomware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Malicious attachment, exposed service or compromised account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Medium</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Very 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Critical</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Endpoint protection, patching, segmentation, protected backups and response playbook</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Weak or reused credentials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Shared, predictable or previously breached passwords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High</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High</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Critical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Password manager, MFA, unique accounts and session monitoring</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Unpatched systems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Delayed operating system, browser, application or device updates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Medium</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Patch inventory, deadlines, scanning and exception approval</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Cloud sharing error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Public link, wrong recipient or excessive permissions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Medium</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High</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High</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Default-private sharing, data labels, periodic access reviews and DLP where feasible</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Lost or stolen device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Laptop or phone left in a vehicle or public place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Medium</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Medium</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Medium</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Full-disk encryption, screen lock, remote wipe and immediate reporting</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Third-party compromise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Vendor account, remote access or software supply-chain issue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Medium</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High</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High</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Vendor due diligence, contract clauses, least privilege and revocation procedures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Insider misuse or error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Malicious action, accidental deletion or unauthorized copying</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Medium</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Separation of duties, logging, least privilege, backups and HR process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Website or internet outage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Provider failure, DDoS, DNS or certificate issue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Low-Medium</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Medium</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Medium</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Provider contacts, DNS/domain protection, monitoring and alternate communications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Pr>
                <w:rFonts w:ascii="Arial" w:hAnsi="Arial"/>
                <w:color w:val="1f2933"/>
                <w:sz w:val="14"/>
              </w:rPr>
              <w:t xml:space="preserve">Inadequate recovery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4"/>
              </w:rPr>
              <w:t xml:space="preserve">Backups missing, encrypted, incomplete or untested</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Medium</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Very 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08" w:type="dxa"/>
            <w:vAlign w:val="center"/>
          </w:tcPr>
          <w:p>
            <w:pPr>
              <w:pBdr/>
              <w:spacing w:after="30"/>
              <w:ind/>
              <w:rPr/>
            </w:pPr>
            <w:r>
              <w:rPr>
                <w:rFonts w:ascii="Arial" w:hAnsi="Arial"/>
                <w:color w:val="1f2933"/>
                <w:sz w:val="14"/>
              </w:rPr>
              <w:t xml:space="preserve">Critical</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3-2-1 approach, offline/immutable copy, restore testing and documented recovery priorities</w:t>
            </w:r>
            <w:r/>
          </w:p>
        </w:tc>
      </w:tr>
    </w:tbl>
    <w:p>
      <w:pPr>
        <w:pStyle w:val="715"/>
        <w:widowControl w:val="true"/>
        <w:pBdr/>
        <w:spacing/>
        <w:ind/>
        <w:rPr/>
      </w:pPr>
      <w:r>
        <w:t xml:space="preserve">3. Cybersecurity Governance</w:t>
      </w:r>
      <w:r/>
    </w:p>
    <w:p>
      <w:pPr>
        <w:pStyle w:val="716"/>
        <w:widowControl w:val="true"/>
        <w:pBdr/>
        <w:spacing/>
        <w:ind/>
        <w:rPr/>
      </w:pPr>
      <w:r>
        <w:t xml:space="preserve">3.1 Governance Principles</w:t>
      </w:r>
      <w:r/>
    </w:p>
    <w:p>
      <w:pPr>
        <w:pStyle w:val="745"/>
        <w:widowControl w:val="true"/>
        <w:pBdr/>
        <w:spacing w:after="50"/>
        <w:ind/>
        <w:rPr/>
      </w:pPr>
      <w:r>
        <w:t xml:space="preserve">Leadership owns cybersecurity risk and provides resources, priorities and approval.</w:t>
      </w:r>
      <w:r/>
    </w:p>
    <w:p>
      <w:pPr>
        <w:pStyle w:val="745"/>
        <w:widowControl w:val="true"/>
        <w:pBdr/>
        <w:spacing w:after="50"/>
        <w:ind/>
        <w:rPr/>
      </w:pPr>
      <w:r>
        <w:t xml:space="preserve">Every system, dataset and risk must have a named business owner.</w:t>
      </w:r>
      <w:r/>
    </w:p>
    <w:p>
      <w:pPr>
        <w:pStyle w:val="745"/>
        <w:widowControl w:val="true"/>
        <w:pBdr/>
        <w:spacing w:after="50"/>
        <w:ind/>
        <w:rPr/>
      </w:pPr>
      <w:r>
        <w:t xml:space="preserve">Access is granted for a legitimate business need and removed when no longer required.</w:t>
      </w:r>
      <w:r/>
    </w:p>
    <w:p>
      <w:pPr>
        <w:pStyle w:val="745"/>
        <w:widowControl w:val="true"/>
        <w:pBdr/>
        <w:spacing w:after="50"/>
        <w:ind/>
        <w:rPr/>
      </w:pPr>
      <w:r>
        <w:t xml:space="preserve">Security controls should be proportionate to sensitivity, business impact and realistic threats.</w:t>
      </w:r>
      <w:r/>
    </w:p>
    <w:p>
      <w:pPr>
        <w:pStyle w:val="745"/>
        <w:widowControl w:val="true"/>
        <w:pBdr/>
        <w:spacing w:after="50"/>
        <w:ind/>
        <w:rPr/>
      </w:pPr>
      <w:r>
        <w:t xml:space="preserve">Decisions, exceptions and incidents must be documented so the organization can learn and demonstrate due care.</w:t>
      </w:r>
      <w:r/>
    </w:p>
    <w:p>
      <w:pPr>
        <w:pStyle w:val="745"/>
        <w:widowControl w:val="true"/>
        <w:pBdr/>
        <w:spacing w:after="50"/>
        <w:ind/>
        <w:rPr/>
      </w:pPr>
      <w:r>
        <w:t xml:space="preserve">Third-party services do not transfer accountability; the business remains responsible for understanding and managing supplier risk.</w:t>
      </w:r>
      <w:r/>
    </w:p>
    <w:p>
      <w:pPr>
        <w:pStyle w:val="745"/>
        <w:widowControl w:val="true"/>
        <w:pBdr/>
        <w:spacing w:after="50"/>
        <w:ind/>
        <w:rPr/>
      </w:pPr>
      <w:r>
        <w:t xml:space="preserve">The program will be reviewed and improved continuously rather than treated as a one-time project.</w:t>
      </w:r>
      <w:r/>
    </w:p>
    <w:p>
      <w:pPr>
        <w:pStyle w:val="716"/>
        <w:widowControl w:val="true"/>
        <w:pBdr/>
        <w:spacing/>
        <w:ind/>
        <w:rPr/>
      </w:pPr>
      <w:r>
        <w:t xml:space="preserve">3.2 Roles and Responsibilities</w:t>
      </w:r>
      <w:r/>
    </w:p>
    <w:tbl>
      <w:tblPr>
        <w:jc w:val="center"/>
        <w:tblW w:w="0" w:type="auto"/>
        <w:tblBorders/>
        <w:tblLayout w:type="fixed"/>
        <w:tblLook w:val="04A0" w:firstRow="1" w:lastRow="0" w:firstColumn="1" w:lastColumn="0" w:noHBand="0" w:noVBand="1"/>
      </w:tblPr>
      <w:tblGrid>
        <w:gridCol w:w="3312"/>
        <w:gridCol w:w="3312"/>
        <w:gridCol w:w="3312"/>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ind/>
              <w:jc w:val="center"/>
              <w:rPr/>
            </w:pPr>
            <w:r>
              <w:rPr>
                <w:rFonts w:ascii="Arial" w:hAnsi="Arial"/>
                <w:b/>
                <w:color w:val="ffffff"/>
                <w:sz w:val="15"/>
              </w:rPr>
              <w:t xml:space="preserve">Role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ind/>
              <w:jc w:val="center"/>
              <w:rPr/>
            </w:pPr>
            <w:r>
              <w:rPr>
                <w:rFonts w:ascii="Arial" w:hAnsi="Arial"/>
                <w:b/>
                <w:color w:val="ffffff"/>
                <w:sz w:val="15"/>
              </w:rPr>
              <w:t xml:space="preserve">Normal responsibilities</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ind/>
              <w:jc w:val="center"/>
              <w:rPr/>
            </w:pPr>
            <w:r>
              <w:rPr>
                <w:rFonts w:ascii="Arial" w:hAnsi="Arial"/>
                <w:b/>
                <w:color w:val="ffffff"/>
                <w:sz w:val="15"/>
              </w:rPr>
              <w:t xml:space="preserve">Incident responsibilities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Business owner / CEO</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Approve policy, risk tolerance, budget and priorities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Act as executive decision-maker; approve major business, legal and communication decisions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Cybersecurity coordinator / IT lead</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Maintain controls, inventories, training, vendors and metrics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Triage alerts, coordinate technical response, maintain incident record and brief leadership</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Managed service provider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Operate agreed systems, monitoring, patching and support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Provide logs, containment, investigation, restoration and specialist escalation under contract</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Privacy / legal adviser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Advise on privacy, contracts, employment and regulatory requirements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Assess notification duties, preserve privilege where applicable and review external communications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Communications lead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Maintain approved communication channels and templates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Coordinate staff, customer, partner and media messaging</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Human resources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Onboarding, offboarding, awareness and employee procedures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Support employee communications and insider-related investigations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All workforce members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Follow policy, protect credentials and report concerns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816" w:type="dxa"/>
            <w:vAlign w:val="center"/>
          </w:tcPr>
          <w:p>
            <w:pPr>
              <w:pBdr/>
              <w:spacing w:after="30"/>
              <w:ind/>
              <w:rPr/>
            </w:pPr>
            <w:r>
              <w:rPr>
                <w:rFonts w:ascii="Arial" w:hAnsi="Arial"/>
                <w:color w:val="1f2933"/>
                <w:sz w:val="15"/>
              </w:rPr>
              <w:t xml:space="preserve">Immediately report suspected incidents and preserve relevant information</w:t>
            </w:r>
            <w:r/>
          </w:p>
        </w:tc>
      </w:tr>
    </w:tbl>
    <w:p>
      <w:pPr>
        <w:pStyle w:val="716"/>
        <w:widowControl w:val="true"/>
        <w:pBdr/>
        <w:spacing/>
        <w:ind/>
        <w:rPr/>
      </w:pPr>
      <w:r>
        <w:t xml:space="preserve">3.3 Policy Exception Process</w:t>
      </w:r>
      <w:r/>
    </w:p>
    <w:p>
      <w:pPr>
        <w:widowControl w:val="true"/>
        <w:pBdr/>
        <w:spacing/>
        <w:ind/>
        <w:rPr/>
      </w:pPr>
      <w:r>
        <w:t xml:space="preserve">A policy exception is temporary approval to operate without meeting a stated requirement. The requester must describe the business reason, affected systems and dat</w:t>
      </w:r>
      <w:r>
        <w:t xml:space="preserve">a, risk, compensating controls, owner and expiry date. The IT lead evaluates technical risk, the business owner accepts residual risk, and legal/privacy review is obtained when necessary. Exceptions may not be open-ended and must be reviewed before expiry.</w:t>
      </w:r>
      <w:r/>
    </w:p>
    <w:p>
      <w:pPr>
        <w:pStyle w:val="715"/>
        <w:widowControl w:val="true"/>
        <w:pBdr/>
        <w:spacing/>
        <w:ind/>
        <w:rPr/>
      </w:pPr>
      <w:r>
        <w:t xml:space="preserve">4. Cybersecurity Policy Suite</w:t>
      </w:r>
      <w:r/>
    </w:p>
    <w:p>
      <w:pPr>
        <w:widowControl w:val="true"/>
        <w:pBdr/>
        <w:spacing/>
        <w:ind/>
        <w:rPr/>
      </w:pPr>
      <w:r>
        <w:t xml:space="preserve">The following policies form a minimum baseline. Each policy includes an objective and mandatory requirements. The business may separate them into individual documents later, but the rules should remain consistent and centrally approved.</w:t>
      </w:r>
      <w:r/>
    </w:p>
    <w:p>
      <w:pPr>
        <w:pStyle w:val="716"/>
        <w:widowControl w:val="true"/>
        <w:pBdr/>
        <w:spacing/>
        <w:ind/>
        <w:rPr/>
      </w:pPr>
      <w:r>
        <w:t xml:space="preserve">4.1 Acceptable Use Policy</w:t>
      </w:r>
      <w:r/>
    </w:p>
    <w:p>
      <w:pPr>
        <w:widowControl w:val="true"/>
        <w:pBdr/>
        <w:spacing/>
        <w:ind/>
        <w:rPr/>
      </w:pPr>
      <w:r>
        <w:t xml:space="preserve">Objective: Ensure company systems and information are used lawfully, safely and primarily for authorized business purposes.</w:t>
      </w:r>
      <w:r/>
    </w:p>
    <w:p>
      <w:pPr>
        <w:pStyle w:val="745"/>
        <w:widowControl w:val="true"/>
        <w:pBdr/>
        <w:spacing w:after="50"/>
        <w:ind/>
        <w:rPr/>
      </w:pPr>
      <w:r>
        <w:t xml:space="preserve">Users must use company systems only for authorized activities and must comply with law, contracts and company procedures.</w:t>
      </w:r>
      <w:r/>
    </w:p>
    <w:p>
      <w:pPr>
        <w:pStyle w:val="745"/>
        <w:widowControl w:val="true"/>
        <w:pBdr/>
        <w:spacing w:after="50"/>
        <w:ind/>
        <w:rPr/>
      </w:pPr>
      <w:r>
        <w:t xml:space="preserve">Limited personal use may be permitted when it does not interfere with work, create cost, expose the company to risk or involve prohibited content.</w:t>
      </w:r>
      <w:r/>
    </w:p>
    <w:p>
      <w:pPr>
        <w:pStyle w:val="745"/>
        <w:widowControl w:val="true"/>
        <w:pBdr/>
        <w:spacing w:after="50"/>
        <w:ind/>
        <w:rPr/>
      </w:pPr>
      <w:r>
        <w:t xml:space="preserve">Users must not disable security software, bypass filtering, install unapproved software, connect unauthorized devices or use company resources for illegal, abusive or commercial side activities.</w:t>
      </w:r>
      <w:r/>
    </w:p>
    <w:p>
      <w:pPr>
        <w:pStyle w:val="745"/>
        <w:widowControl w:val="true"/>
        <w:pBdr/>
        <w:spacing w:after="50"/>
        <w:ind/>
        <w:rPr/>
      </w:pPr>
      <w:r>
        <w:t xml:space="preserve">Confidential or restricted data must not be sent through personal email, consumer file-sharing accounts, unapproved messaging apps or public AI services unless formally approved for that data.</w:t>
      </w:r>
      <w:r/>
    </w:p>
    <w:p>
      <w:pPr>
        <w:pStyle w:val="745"/>
        <w:widowControl w:val="true"/>
        <w:pBdr/>
        <w:spacing w:after="50"/>
        <w:ind/>
        <w:rPr/>
      </w:pPr>
      <w:r>
        <w:t xml:space="preserve">Suspicious messages, unexpected authentication prompts, lost devices and accidental disclosures must be reported immediately.</w:t>
      </w:r>
      <w:r/>
    </w:p>
    <w:p>
      <w:pPr>
        <w:pStyle w:val="745"/>
        <w:widowControl w:val="true"/>
        <w:pBdr/>
        <w:spacing w:after="50"/>
        <w:ind/>
        <w:rPr/>
      </w:pPr>
      <w:r>
        <w:t xml:space="preserve">The company may log and review use of its systems for security, operations and compliance, subject to applicable privacy and employment law.</w:t>
      </w:r>
      <w:r/>
    </w:p>
    <w:p>
      <w:pPr>
        <w:pStyle w:val="876"/>
        <w:widowControl w:val="true"/>
        <w:pBdr/>
        <w:spacing/>
        <w:ind/>
        <w:rPr/>
      </w:pPr>
      <w:r>
        <w:t xml:space="preserve">Example: An employee who needs a file-conversion tool must request an approved application rather than uploading a confidential customer document to a free website.</w:t>
      </w:r>
      <w:r/>
    </w:p>
    <w:p>
      <w:pPr>
        <w:pStyle w:val="716"/>
        <w:widowControl w:val="true"/>
        <w:pBdr/>
        <w:spacing/>
        <w:ind/>
        <w:rPr/>
      </w:pPr>
      <w:r>
        <w:t xml:space="preserve">4.2 Identity, Password and Multi-Factor Authentication Policy</w:t>
      </w:r>
      <w:r/>
    </w:p>
    <w:p>
      <w:pPr>
        <w:widowControl w:val="true"/>
        <w:pBdr/>
        <w:spacing/>
        <w:ind/>
        <w:rPr/>
      </w:pPr>
      <w:r>
        <w:t xml:space="preserve">Objective: Prevent unauthorized access by ensuring every user is uniquely identified and authentication is resistant to guessing, theft and reuse.</w:t>
      </w:r>
      <w:r/>
    </w:p>
    <w:p>
      <w:pPr>
        <w:pStyle w:val="745"/>
        <w:widowControl w:val="true"/>
        <w:pBdr/>
        <w:spacing w:after="50"/>
        <w:ind/>
        <w:rPr/>
      </w:pPr>
      <w:r>
        <w:t xml:space="preserve">Each person must have an individual account. Shared accounts are prohibited unless technically unavoidable, documented and controlled.</w:t>
      </w:r>
      <w:r/>
    </w:p>
    <w:p>
      <w:pPr>
        <w:pStyle w:val="745"/>
        <w:widowControl w:val="true"/>
        <w:pBdr/>
        <w:spacing w:after="50"/>
        <w:ind/>
        <w:rPr/>
      </w:pPr>
      <w:r>
        <w:t xml:space="preserve">Multi-factor authentication (MFA) is mandatory for email, cloud administration, remote access, banking, payroll, password management, domain/DNS management and other critical services.</w:t>
      </w:r>
      <w:r/>
    </w:p>
    <w:p>
      <w:pPr>
        <w:pStyle w:val="745"/>
        <w:widowControl w:val="true"/>
        <w:pBdr/>
        <w:spacing w:after="50"/>
        <w:ind/>
        <w:rPr/>
      </w:pPr>
      <w:r>
        <w:t xml:space="preserve">Phishing-resistant MFA, such as security keys or platform passkeys, should be used for administrators and high-risk accounts where supported.</w:t>
      </w:r>
      <w:r/>
    </w:p>
    <w:p>
      <w:pPr>
        <w:pStyle w:val="745"/>
        <w:widowControl w:val="true"/>
        <w:pBdr/>
        <w:spacing w:after="50"/>
        <w:ind/>
        <w:rPr/>
      </w:pPr>
      <w:r>
        <w:t xml:space="preserve">Passwords must be long, unique and stored in an approved password manager. Staff must never reuse a work password on a personal service.</w:t>
      </w:r>
      <w:r/>
    </w:p>
    <w:p>
      <w:pPr>
        <w:pStyle w:val="745"/>
        <w:widowControl w:val="true"/>
        <w:pBdr/>
        <w:spacing w:after="50"/>
        <w:ind/>
        <w:rPr/>
      </w:pPr>
      <w:r>
        <w:t xml:space="preserve">Passwords and one-time codes must not be shared. IT staff will never ask for a password or MFA code.</w:t>
      </w:r>
      <w:r/>
    </w:p>
    <w:p>
      <w:pPr>
        <w:pStyle w:val="745"/>
        <w:widowControl w:val="true"/>
        <w:pBdr/>
        <w:spacing w:after="50"/>
        <w:ind/>
        <w:rPr/>
      </w:pPr>
      <w:r>
        <w:t xml:space="preserve">Default passwords must be changed before a device or service is placed into use.</w:t>
      </w:r>
      <w:r/>
    </w:p>
    <w:p>
      <w:pPr>
        <w:pStyle w:val="745"/>
        <w:widowControl w:val="true"/>
        <w:pBdr/>
        <w:spacing w:after="50"/>
        <w:ind/>
        <w:rPr/>
      </w:pPr>
      <w:r>
        <w:t xml:space="preserve">Privileged access must use a separate administrative account and must not be used for routine email or web browsing.</w:t>
      </w:r>
      <w:r/>
    </w:p>
    <w:p>
      <w:pPr>
        <w:pStyle w:val="745"/>
        <w:widowControl w:val="true"/>
        <w:pBdr/>
        <w:spacing w:after="50"/>
        <w:ind/>
        <w:rPr/>
      </w:pPr>
      <w:r>
        <w:t xml:space="preserve">Accounts must be disabled promptly when employment or a contract ends, and access must be reviewed at least quarterly for critical systems.</w:t>
      </w:r>
      <w:r/>
    </w:p>
    <w:p>
      <w:pPr>
        <w:pStyle w:val="876"/>
        <w:widowControl w:val="true"/>
        <w:pBdr/>
        <w:spacing/>
        <w:ind/>
        <w:rPr/>
      </w:pPr>
      <w:r>
        <w:t xml:space="preserve">Example: A finance employee receives an MFA prompt that they did not initiate. They deny it, report it and change the password rather than approving the prompt to stop repeated notifications.</w:t>
      </w:r>
      <w:r/>
    </w:p>
    <w:p>
      <w:pPr>
        <w:pStyle w:val="716"/>
        <w:widowControl w:val="true"/>
        <w:pBdr/>
        <w:spacing/>
        <w:ind/>
        <w:rPr/>
      </w:pPr>
      <w:r>
        <w:t xml:space="preserve">4.3 Access Control and Least Privilege Policy</w:t>
      </w:r>
      <w:r/>
    </w:p>
    <w:p>
      <w:pPr>
        <w:pStyle w:val="745"/>
        <w:widowControl w:val="true"/>
        <w:pBdr/>
        <w:spacing w:after="50"/>
        <w:ind/>
        <w:rPr/>
      </w:pPr>
      <w:r>
        <w:t xml:space="preserve">Access is granted based on job role, data sensitivity and business need, with manager and system-owner approval.</w:t>
      </w:r>
      <w:r/>
    </w:p>
    <w:p>
      <w:pPr>
        <w:pStyle w:val="745"/>
        <w:widowControl w:val="true"/>
        <w:pBdr/>
        <w:spacing w:after="50"/>
        <w:ind/>
        <w:rPr/>
      </w:pPr>
      <w:r>
        <w:t xml:space="preserve">Users receive the minimum access necessary. Administrator rights are restricted and reviewed.</w:t>
      </w:r>
      <w:r/>
    </w:p>
    <w:p>
      <w:pPr>
        <w:pStyle w:val="745"/>
        <w:widowControl w:val="true"/>
        <w:pBdr/>
        <w:spacing w:after="50"/>
        <w:ind/>
        <w:rPr/>
      </w:pPr>
      <w:r>
        <w:t xml:space="preserve">Critical financial actions should use separation of duties—for example, one person prepares a payment and another approves it.</w:t>
      </w:r>
      <w:r/>
    </w:p>
    <w:p>
      <w:pPr>
        <w:pStyle w:val="745"/>
        <w:widowControl w:val="true"/>
        <w:pBdr/>
        <w:spacing w:after="50"/>
        <w:ind/>
        <w:rPr/>
      </w:pPr>
      <w:r>
        <w:t xml:space="preserve">External collaborators receive time-limited access to specific resources rather than broad internal access.</w:t>
      </w:r>
      <w:r/>
    </w:p>
    <w:p>
      <w:pPr>
        <w:pStyle w:val="745"/>
        <w:widowControl w:val="true"/>
        <w:pBdr/>
        <w:spacing w:after="50"/>
        <w:ind/>
        <w:rPr/>
      </w:pPr>
      <w:r>
        <w:t xml:space="preserve">Access reviews occur quarterly for critical systems and at least annually for all systems.</w:t>
      </w:r>
      <w:r/>
    </w:p>
    <w:p>
      <w:pPr>
        <w:pStyle w:val="745"/>
        <w:widowControl w:val="true"/>
        <w:pBdr/>
        <w:spacing w:after="50"/>
        <w:ind/>
        <w:rPr/>
      </w:pPr>
      <w:r>
        <w:t xml:space="preserve">Changes in role trigger an access review; termination triggers immediate revocation of accounts, sessions, keys, badges and devices.</w:t>
      </w:r>
      <w:r/>
    </w:p>
    <w:p>
      <w:pPr>
        <w:pStyle w:val="716"/>
        <w:widowControl w:val="true"/>
        <w:pBdr/>
        <w:spacing/>
        <w:ind/>
        <w:rPr/>
      </w:pPr>
      <w:r>
        <w:t xml:space="preserve">4.4 Asset Management and Secure Configuration Policy</w:t>
      </w:r>
      <w:r/>
    </w:p>
    <w:p>
      <w:pPr>
        <w:pStyle w:val="745"/>
        <w:widowControl w:val="true"/>
        <w:pBdr/>
        <w:spacing w:after="50"/>
        <w:ind/>
        <w:rPr/>
      </w:pPr>
      <w:r>
        <w:t xml:space="preserve">All company devices, software, cloud services, domains and critical accounts must be recorded in an inventory with an owner.</w:t>
      </w:r>
      <w:r/>
    </w:p>
    <w:p>
      <w:pPr>
        <w:pStyle w:val="745"/>
        <w:widowControl w:val="true"/>
        <w:pBdr/>
        <w:spacing w:after="50"/>
        <w:ind/>
        <w:rPr/>
      </w:pPr>
      <w:r>
        <w:t xml:space="preserve">Only supported operating systems and applications may be used for business-critical work.</w:t>
      </w:r>
      <w:r/>
    </w:p>
    <w:p>
      <w:pPr>
        <w:pStyle w:val="745"/>
        <w:widowControl w:val="true"/>
        <w:pBdr/>
        <w:spacing w:after="50"/>
        <w:ind/>
        <w:rPr/>
      </w:pPr>
      <w:r>
        <w:t xml:space="preserve">Devices must use company-approved secure configurations, including full-disk encryption, automatic screen locking, host firewall and endpoint protection.</w:t>
      </w:r>
      <w:r/>
    </w:p>
    <w:p>
      <w:pPr>
        <w:pStyle w:val="745"/>
        <w:widowControl w:val="true"/>
        <w:pBdr/>
        <w:spacing w:after="50"/>
        <w:ind/>
        <w:rPr/>
      </w:pPr>
      <w:r>
        <w:t xml:space="preserve">Unneeded services, accounts and browser extensions must be removed or disabled.</w:t>
      </w:r>
      <w:r/>
    </w:p>
    <w:p>
      <w:pPr>
        <w:pStyle w:val="745"/>
        <w:widowControl w:val="true"/>
        <w:pBdr/>
        <w:spacing w:after="50"/>
        <w:ind/>
        <w:rPr/>
      </w:pPr>
      <w:r>
        <w:t xml:space="preserve">New technology must be approved before purchase or use so security, privacy, support and exit requirements can be evaluated.</w:t>
      </w:r>
      <w:r/>
    </w:p>
    <w:p>
      <w:pPr>
        <w:pStyle w:val="745"/>
        <w:widowControl w:val="true"/>
        <w:pBdr/>
        <w:spacing w:after="50"/>
        <w:ind/>
        <w:rPr/>
      </w:pPr>
      <w:r>
        <w:t xml:space="preserve">Assets are securely wiped or destroyed before disposal, resale, return or reassignment.</w:t>
      </w:r>
      <w:r/>
    </w:p>
    <w:p>
      <w:pPr>
        <w:pStyle w:val="716"/>
        <w:widowControl w:val="true"/>
        <w:pBdr/>
        <w:spacing/>
        <w:ind/>
        <w:rPr/>
      </w:pPr>
      <w:r>
        <w:t xml:space="preserve">4.5 Patch and Vulnerability Management Policy</w:t>
      </w:r>
      <w:r/>
    </w:p>
    <w:p>
      <w:pPr>
        <w:widowControl w:val="true"/>
        <w:pBdr/>
        <w:spacing/>
        <w:ind/>
        <w:rPr/>
      </w:pPr>
      <w:r>
        <w:t xml:space="preserve">Objective: Reduce exposure to known vulnerabilities while managing operational risk.</w:t>
      </w:r>
      <w:r/>
    </w:p>
    <w:tbl>
      <w:tblPr>
        <w:jc w:val="center"/>
        <w:tblW w:w="0" w:type="auto"/>
        <w:tblBorders/>
        <w:tblLayout w:type="fixed"/>
        <w:tblLook w:val="04A0" w:firstRow="1" w:lastRow="0" w:firstColumn="1" w:lastColumn="0" w:noHBand="0" w:noVBand="1"/>
      </w:tblPr>
      <w:tblGrid>
        <w:gridCol w:w="3312"/>
        <w:gridCol w:w="3312"/>
        <w:gridCol w:w="3312"/>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ind/>
              <w:jc w:val="center"/>
              <w:rPr/>
            </w:pPr>
            <w:r>
              <w:rPr>
                <w:rFonts w:ascii="Arial" w:hAnsi="Arial"/>
                <w:b/>
                <w:color w:val="ffffff"/>
                <w:sz w:val="16"/>
              </w:rPr>
              <w:t xml:space="preserve">Category</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ind/>
              <w:jc w:val="center"/>
              <w:rPr/>
            </w:pPr>
            <w:r>
              <w:rPr>
                <w:rFonts w:ascii="Arial" w:hAnsi="Arial"/>
                <w:b/>
                <w:color w:val="ffffff"/>
                <w:sz w:val="16"/>
              </w:rPr>
              <w:t xml:space="preserve">Target deadline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5328" w:type="dxa"/>
            <w:vAlign w:val="center"/>
          </w:tcPr>
          <w:p>
            <w:pPr>
              <w:pBdr/>
              <w:spacing/>
              <w:ind/>
              <w:jc w:val="center"/>
              <w:rPr/>
            </w:pPr>
            <w:r>
              <w:rPr>
                <w:rFonts w:ascii="Arial" w:hAnsi="Arial"/>
                <w:b/>
                <w:color w:val="ffffff"/>
                <w:sz w:val="16"/>
              </w:rPr>
              <w:t xml:space="preserve">Requirement</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after="30"/>
              <w:ind/>
              <w:rPr/>
            </w:pPr>
            <w:r>
              <w:rPr>
                <w:rFonts w:ascii="Arial" w:hAnsi="Arial"/>
                <w:color w:val="1f2933"/>
                <w:sz w:val="16"/>
              </w:rPr>
              <w:t xml:space="preserve">Actively exploited / emergency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after="30"/>
              <w:ind/>
              <w:rPr/>
            </w:pPr>
            <w:r>
              <w:rPr>
                <w:rFonts w:ascii="Arial" w:hAnsi="Arial"/>
                <w:color w:val="1f2933"/>
                <w:sz w:val="16"/>
              </w:rPr>
              <w:t xml:space="preserve">As soon as practical; target 72 hours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5328" w:type="dxa"/>
            <w:vAlign w:val="center"/>
          </w:tcPr>
          <w:p>
            <w:pPr>
              <w:pBdr/>
              <w:spacing w:after="30"/>
              <w:ind/>
              <w:rPr/>
            </w:pPr>
            <w:r>
              <w:rPr>
                <w:rFonts w:ascii="Arial" w:hAnsi="Arial"/>
                <w:color w:val="1f2933"/>
                <w:sz w:val="16"/>
              </w:rPr>
              <w:t xml:space="preserve">Prioritize internet-facing, privileged and critical systems; use emergency change process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after="30"/>
              <w:ind/>
              <w:rPr/>
            </w:pPr>
            <w:r>
              <w:rPr>
                <w:rFonts w:ascii="Arial" w:hAnsi="Arial"/>
                <w:color w:val="1f2933"/>
                <w:sz w:val="16"/>
              </w:rPr>
              <w:t xml:space="preserve">Critical security update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after="30"/>
              <w:ind/>
              <w:rPr/>
            </w:pPr>
            <w:r>
              <w:rPr>
                <w:rFonts w:ascii="Arial" w:hAnsi="Arial"/>
                <w:color w:val="1f2933"/>
                <w:sz w:val="16"/>
              </w:rPr>
              <w:t xml:space="preserve">7 days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5328" w:type="dxa"/>
            <w:vAlign w:val="center"/>
          </w:tcPr>
          <w:p>
            <w:pPr>
              <w:pBdr/>
              <w:spacing w:after="30"/>
              <w:ind/>
              <w:rPr/>
            </w:pPr>
            <w:r>
              <w:rPr>
                <w:rFonts w:ascii="Arial" w:hAnsi="Arial"/>
                <w:color w:val="1f2933"/>
                <w:sz w:val="16"/>
              </w:rPr>
              <w:t xml:space="preserve">Test quickly and deploy across affected assets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after="30"/>
              <w:ind/>
              <w:rPr/>
            </w:pPr>
            <w:r>
              <w:rPr>
                <w:rFonts w:ascii="Arial" w:hAnsi="Arial"/>
                <w:color w:val="1f2933"/>
                <w:sz w:val="16"/>
              </w:rPr>
              <w:t xml:space="preserve">High severity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after="30"/>
              <w:ind/>
              <w:rPr/>
            </w:pPr>
            <w:r>
              <w:rPr>
                <w:rFonts w:ascii="Arial" w:hAnsi="Arial"/>
                <w:color w:val="1f2933"/>
                <w:sz w:val="16"/>
              </w:rPr>
              <w:t xml:space="preserve">14 days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5328" w:type="dxa"/>
            <w:vAlign w:val="center"/>
          </w:tcPr>
          <w:p>
            <w:pPr>
              <w:pBdr/>
              <w:spacing w:after="30"/>
              <w:ind/>
              <w:rPr/>
            </w:pPr>
            <w:r>
              <w:rPr>
                <w:rFonts w:ascii="Arial" w:hAnsi="Arial"/>
                <w:color w:val="1f2933"/>
                <w:sz w:val="16"/>
              </w:rPr>
              <w:t xml:space="preserve">Deploy through normal accelerated maintenance</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after="30"/>
              <w:ind/>
              <w:rPr/>
            </w:pPr>
            <w:r>
              <w:rPr>
                <w:rFonts w:ascii="Arial" w:hAnsi="Arial"/>
                <w:color w:val="1f2933"/>
                <w:sz w:val="16"/>
              </w:rPr>
              <w:t xml:space="preserve">Routine updates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160" w:type="dxa"/>
            <w:vAlign w:val="center"/>
          </w:tcPr>
          <w:p>
            <w:pPr>
              <w:pBdr/>
              <w:spacing w:after="30"/>
              <w:ind/>
              <w:rPr/>
            </w:pPr>
            <w:r>
              <w:rPr>
                <w:rFonts w:ascii="Arial" w:hAnsi="Arial"/>
                <w:color w:val="1f2933"/>
                <w:sz w:val="16"/>
              </w:rPr>
              <w:t xml:space="preserve">30 days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5328" w:type="dxa"/>
            <w:vAlign w:val="center"/>
          </w:tcPr>
          <w:p>
            <w:pPr>
              <w:pBdr/>
              <w:spacing w:after="30"/>
              <w:ind/>
              <w:rPr/>
            </w:pPr>
            <w:r>
              <w:rPr>
                <w:rFonts w:ascii="Arial" w:hAnsi="Arial"/>
                <w:color w:val="1f2933"/>
                <w:sz w:val="16"/>
              </w:rPr>
              <w:t xml:space="preserve">Include operating systems, applications, browsers, firmware and network devices</w:t>
            </w:r>
            <w:r/>
          </w:p>
        </w:tc>
      </w:tr>
    </w:tbl>
    <w:p>
      <w:pPr>
        <w:pStyle w:val="745"/>
        <w:widowControl w:val="true"/>
        <w:pBdr/>
        <w:spacing w:after="50"/>
        <w:ind/>
        <w:rPr/>
      </w:pPr>
      <w:r>
        <w:t xml:space="preserve">Automated updating should be enabled where it is reliable and appropriate.</w:t>
      </w:r>
      <w:r/>
    </w:p>
    <w:p>
      <w:pPr>
        <w:pStyle w:val="745"/>
        <w:widowControl w:val="true"/>
        <w:pBdr/>
        <w:spacing w:after="50"/>
        <w:ind/>
        <w:rPr/>
      </w:pPr>
      <w:r>
        <w:t xml:space="preserve">Unsupported systems require replacement, isolation or a formally accepted exception with compensating controls.</w:t>
      </w:r>
      <w:r/>
    </w:p>
    <w:p>
      <w:pPr>
        <w:pStyle w:val="745"/>
        <w:widowControl w:val="true"/>
        <w:pBdr/>
        <w:spacing w:after="50"/>
        <w:ind/>
        <w:rPr/>
      </w:pPr>
      <w:r>
        <w:t xml:space="preserve">The IT lead will review vulnerability alerts relevant to the company’s technologies and verify remediation.</w:t>
      </w:r>
      <w:r/>
    </w:p>
    <w:p>
      <w:pPr>
        <w:pStyle w:val="745"/>
        <w:widowControl w:val="true"/>
        <w:pBdr/>
        <w:spacing w:after="50"/>
        <w:ind/>
        <w:rPr/>
      </w:pPr>
      <w:r>
        <w:t xml:space="preserve">External vulnerability scanning and penetration testing should be performed when risk, contracts or major changes justify it.</w:t>
      </w:r>
      <w:r/>
    </w:p>
    <w:p>
      <w:pPr>
        <w:pStyle w:val="716"/>
        <w:widowControl w:val="true"/>
        <w:pBdr/>
        <w:spacing/>
        <w:ind/>
        <w:rPr/>
      </w:pPr>
      <w:r>
        <w:t xml:space="preserve">4.6 Endpoint and Mobile Device Security Policy</w:t>
      </w:r>
      <w:r/>
    </w:p>
    <w:p>
      <w:pPr>
        <w:pStyle w:val="745"/>
        <w:widowControl w:val="true"/>
        <w:pBdr/>
        <w:spacing w:after="50"/>
        <w:ind/>
        <w:rPr/>
      </w:pPr>
      <w:r>
        <w:t xml:space="preserve">Company laptops and mobile devices must use encryption, automatic locking, supported software and centrally managed protection where feasible.</w:t>
      </w:r>
      <w:r/>
    </w:p>
    <w:p>
      <w:pPr>
        <w:pStyle w:val="745"/>
        <w:widowControl w:val="true"/>
        <w:pBdr/>
        <w:spacing w:after="50"/>
        <w:ind/>
        <w:rPr/>
      </w:pPr>
      <w:r>
        <w:t xml:space="preserve">Users must not leave devices unattended in public places or visible in vehicles.</w:t>
      </w:r>
      <w:r/>
    </w:p>
    <w:p>
      <w:pPr>
        <w:pStyle w:val="745"/>
        <w:widowControl w:val="true"/>
        <w:pBdr/>
        <w:spacing w:after="50"/>
        <w:ind/>
        <w:rPr/>
      </w:pPr>
      <w:r>
        <w:t xml:space="preserve">Lost or stolen devices must be reported immediately, even when the device is believed to be locked or encrypted.</w:t>
      </w:r>
      <w:r/>
    </w:p>
    <w:p>
      <w:pPr>
        <w:pStyle w:val="745"/>
        <w:widowControl w:val="true"/>
        <w:pBdr/>
        <w:spacing w:after="50"/>
        <w:ind/>
        <w:rPr/>
      </w:pPr>
      <w:r>
        <w:t xml:space="preserve">Local storage of restricted information should be minimized. Approved cloud storage should be used so access can be revoked and data recovered.</w:t>
      </w:r>
      <w:r/>
    </w:p>
    <w:p>
      <w:pPr>
        <w:pStyle w:val="745"/>
        <w:widowControl w:val="true"/>
        <w:pBdr/>
        <w:spacing w:after="50"/>
        <w:ind/>
        <w:rPr/>
      </w:pPr>
      <w:r>
        <w:t xml:space="preserve">Removable media is prohibited unless approved, encrypted and scanned.</w:t>
      </w:r>
      <w:r/>
    </w:p>
    <w:p>
      <w:pPr>
        <w:pStyle w:val="745"/>
        <w:widowControl w:val="true"/>
        <w:pBdr/>
        <w:spacing w:after="50"/>
        <w:ind/>
        <w:rPr/>
      </w:pPr>
      <w:r>
        <w:t xml:space="preserve">Jailbroken, rooted or otherwise security-disabled devices may not access company data.</w:t>
      </w:r>
      <w:r/>
    </w:p>
    <w:p>
      <w:pPr>
        <w:pStyle w:val="716"/>
        <w:widowControl w:val="true"/>
        <w:pBdr/>
        <w:spacing/>
        <w:ind/>
        <w:rPr/>
      </w:pPr>
      <w:r>
        <w:t xml:space="preserve">4.7 Email, Messaging and Phishing Policy</w:t>
      </w:r>
      <w:r/>
    </w:p>
    <w:p>
      <w:pPr>
        <w:pStyle w:val="745"/>
        <w:widowControl w:val="true"/>
        <w:pBdr/>
        <w:spacing w:after="50"/>
        <w:ind/>
        <w:rPr/>
      </w:pPr>
      <w:r>
        <w:t xml:space="preserve">Staff must treat unexpected links, attachments, login requests, payment changes and urgent executive requests as potentially suspicious.</w:t>
      </w:r>
      <w:r/>
    </w:p>
    <w:p>
      <w:pPr>
        <w:pStyle w:val="745"/>
        <w:widowControl w:val="true"/>
        <w:pBdr/>
        <w:spacing w:after="50"/>
        <w:ind/>
        <w:rPr/>
      </w:pPr>
      <w:r>
        <w:t xml:space="preserve">Changes to supplier bank details, payroll instructions or high-value payment requests require verification through a known, independent channel.</w:t>
      </w:r>
      <w:r/>
    </w:p>
    <w:p>
      <w:pPr>
        <w:pStyle w:val="745"/>
        <w:widowControl w:val="true"/>
        <w:pBdr/>
        <w:spacing w:after="50"/>
        <w:ind/>
        <w:rPr/>
      </w:pPr>
      <w:r>
        <w:t xml:space="preserve">Email forwarding to personal accounts is prohibited. Automatic forwarding rules are restricted and monitored where possible.</w:t>
      </w:r>
      <w:r/>
    </w:p>
    <w:p>
      <w:pPr>
        <w:pStyle w:val="745"/>
        <w:widowControl w:val="true"/>
        <w:pBdr/>
        <w:spacing w:after="50"/>
        <w:ind/>
        <w:rPr/>
      </w:pPr>
      <w:r>
        <w:t xml:space="preserve">External sender indicators, anti-phishing protections and malicious attachment scanning should be enabled.</w:t>
      </w:r>
      <w:r/>
    </w:p>
    <w:p>
      <w:pPr>
        <w:pStyle w:val="745"/>
        <w:widowControl w:val="true"/>
        <w:pBdr/>
        <w:spacing w:after="50"/>
        <w:ind/>
        <w:rPr/>
      </w:pPr>
      <w:r>
        <w:t xml:space="preserve">Users should use the approved reporting mechanism rather than forwarding suspicious email to colleagues.</w:t>
      </w:r>
      <w:r/>
    </w:p>
    <w:p>
      <w:pPr>
        <w:pStyle w:val="745"/>
        <w:widowControl w:val="true"/>
        <w:pBdr/>
        <w:spacing w:after="50"/>
        <w:ind/>
        <w:rPr/>
      </w:pPr>
      <w:r>
        <w:t xml:space="preserve">Security awareness training is required during onboarding and at least annually, with short refreshers during the year.</w:t>
      </w:r>
      <w:r/>
    </w:p>
    <w:p>
      <w:pPr>
        <w:pStyle w:val="716"/>
        <w:widowControl w:val="true"/>
        <w:pBdr/>
        <w:spacing/>
        <w:ind/>
        <w:rPr/>
      </w:pPr>
      <w:r>
        <w:t xml:space="preserve">4.8 Data Protection, Retention and Secure Disposal Policy</w:t>
      </w:r>
      <w:r/>
    </w:p>
    <w:p>
      <w:pPr>
        <w:pStyle w:val="745"/>
        <w:widowControl w:val="true"/>
        <w:pBdr/>
        <w:spacing w:after="50"/>
        <w:ind/>
        <w:rPr/>
      </w:pPr>
      <w:r>
        <w:t xml:space="preserve">The business collects and retains only information needed for a defined purpose, legal obligation or contract.</w:t>
      </w:r>
      <w:r/>
    </w:p>
    <w:p>
      <w:pPr>
        <w:pStyle w:val="745"/>
        <w:widowControl w:val="true"/>
        <w:pBdr/>
        <w:spacing w:after="50"/>
        <w:ind/>
        <w:rPr/>
      </w:pPr>
      <w:r>
        <w:t xml:space="preserve">Confidential and restricted information must use approved storage and encryption in transit. Restricted data should also be encrypted at rest.</w:t>
      </w:r>
      <w:r/>
    </w:p>
    <w:p>
      <w:pPr>
        <w:pStyle w:val="745"/>
        <w:widowControl w:val="true"/>
        <w:pBdr/>
        <w:spacing w:after="50"/>
        <w:ind/>
        <w:rPr/>
      </w:pPr>
      <w:r>
        <w:t xml:space="preserve">Access and sharing links must expire or be reviewed. Public links for confidential data are prohibited unless specifically approved.</w:t>
      </w:r>
      <w:r/>
    </w:p>
    <w:p>
      <w:pPr>
        <w:pStyle w:val="745"/>
        <w:widowControl w:val="true"/>
        <w:pBdr/>
        <w:spacing w:after="50"/>
        <w:ind/>
        <w:rPr/>
      </w:pPr>
      <w:r>
        <w:t xml:space="preserve">Retention periods must be documented by record type. Data that is no longer required must be securely deleted or destroyed.</w:t>
      </w:r>
      <w:r/>
    </w:p>
    <w:p>
      <w:pPr>
        <w:pStyle w:val="745"/>
        <w:widowControl w:val="true"/>
        <w:pBdr/>
        <w:spacing w:after="50"/>
        <w:ind/>
        <w:rPr/>
      </w:pPr>
      <w:r>
        <w:t xml:space="preserve">Paper records containing confidential information must be stored securely and destroyed using cross-cut shredding or a certified service.</w:t>
      </w:r>
      <w:r/>
    </w:p>
    <w:p>
      <w:pPr>
        <w:pStyle w:val="745"/>
        <w:widowControl w:val="true"/>
        <w:pBdr/>
        <w:spacing w:after="50"/>
        <w:ind/>
        <w:rPr/>
      </w:pPr>
      <w:r>
        <w:t xml:space="preserve">Suspected data exposure must be reported as an incident; staff must not quietly delete evidence or attempt informal correction without recording the event.</w:t>
      </w:r>
      <w:r/>
    </w:p>
    <w:p>
      <w:pPr>
        <w:pStyle w:val="716"/>
        <w:widowControl w:val="true"/>
        <w:pBdr/>
        <w:spacing/>
        <w:ind/>
        <w:rPr/>
      </w:pPr>
      <w:r>
        <w:t xml:space="preserve">4.9 Backup and Recovery Policy</w:t>
      </w:r>
      <w:r/>
    </w:p>
    <w:p>
      <w:pPr>
        <w:pStyle w:val="745"/>
        <w:widowControl w:val="true"/>
        <w:pBdr/>
        <w:spacing w:after="50"/>
        <w:ind/>
        <w:rPr/>
      </w:pPr>
      <w:r>
        <w:t xml:space="preserve">Critical information and systems must be backed up according to business recovery needs.</w:t>
      </w:r>
      <w:r/>
    </w:p>
    <w:p>
      <w:pPr>
        <w:pStyle w:val="745"/>
        <w:widowControl w:val="true"/>
        <w:pBdr/>
        <w:spacing w:after="50"/>
        <w:ind/>
        <w:rPr/>
      </w:pPr>
      <w:r>
        <w:t xml:space="preserve">Backups should follow a 3-2-1 principle where feasible: at least three copies, on two different storage types or services, with one copy offline, isolated or immutable.</w:t>
      </w:r>
      <w:r/>
    </w:p>
    <w:p>
      <w:pPr>
        <w:pStyle w:val="745"/>
        <w:widowControl w:val="true"/>
        <w:pBdr/>
        <w:spacing w:after="50"/>
        <w:ind/>
        <w:rPr/>
      </w:pPr>
      <w:r>
        <w:t xml:space="preserve">Backup administrative accounts and credentials must be separate from normal user accounts and protected by MFA.</w:t>
      </w:r>
      <w:r/>
    </w:p>
    <w:p>
      <w:pPr>
        <w:pStyle w:val="745"/>
        <w:widowControl w:val="true"/>
        <w:pBdr/>
        <w:spacing w:after="50"/>
        <w:ind/>
        <w:rPr/>
      </w:pPr>
      <w:r>
        <w:t xml:space="preserve">Backup failures generate alerts and are investigated. Successful job completion alone is not proof of recoverability.</w:t>
      </w:r>
      <w:r/>
    </w:p>
    <w:p>
      <w:pPr>
        <w:pStyle w:val="745"/>
        <w:widowControl w:val="true"/>
        <w:pBdr/>
        <w:spacing w:after="50"/>
        <w:ind/>
        <w:rPr/>
      </w:pPr>
      <w:r>
        <w:t xml:space="preserve">Sample file restores are tested at least quarterly, and a broader recovery exercise is performed at least annually.</w:t>
      </w:r>
      <w:r/>
    </w:p>
    <w:p>
      <w:pPr>
        <w:pStyle w:val="745"/>
        <w:widowControl w:val="true"/>
        <w:pBdr/>
        <w:spacing w:after="50"/>
        <w:ind/>
        <w:rPr/>
      </w:pPr>
      <w:r>
        <w:t xml:space="preserve">Recovery priorities, dependencies, recovery time objectives and responsible contacts must be documented.</w:t>
      </w:r>
      <w:r/>
    </w:p>
    <w:p>
      <w:pPr>
        <w:pStyle w:val="876"/>
        <w:widowControl w:val="true"/>
        <w:pBdr/>
        <w:spacing/>
        <w:ind/>
        <w:rPr/>
      </w:pPr>
      <w:r>
        <w:t xml:space="preserve">Example: A cloud file-sync service is not treated as the only backup because ransomware or accidental deletion can synchronize to the cloud. A separate protected versioned backup is maintained.</w:t>
      </w:r>
      <w:r/>
    </w:p>
    <w:p>
      <w:pPr>
        <w:pStyle w:val="716"/>
        <w:widowControl w:val="true"/>
        <w:pBdr/>
        <w:spacing/>
        <w:ind/>
        <w:rPr/>
      </w:pPr>
      <w:r>
        <w:t xml:space="preserve">4.10 Network and Remote Access Security Policy</w:t>
      </w:r>
      <w:r/>
    </w:p>
    <w:p>
      <w:pPr>
        <w:pStyle w:val="745"/>
        <w:widowControl w:val="true"/>
        <w:pBdr/>
        <w:spacing w:after="50"/>
        <w:ind/>
        <w:rPr/>
      </w:pPr>
      <w:r>
        <w:t xml:space="preserve">Business Wi-Fi must use strong modern encryption and a unique administrative password. Guest devices use a separate network.</w:t>
      </w:r>
      <w:r/>
    </w:p>
    <w:p>
      <w:pPr>
        <w:pStyle w:val="745"/>
        <w:widowControl w:val="true"/>
        <w:pBdr/>
        <w:spacing w:after="50"/>
        <w:ind/>
        <w:rPr/>
      </w:pPr>
      <w:r>
        <w:t xml:space="preserve">Network equipment firmware is maintained and remote administration from the public internet is disabled unless specifically secured and required.</w:t>
      </w:r>
      <w:r/>
    </w:p>
    <w:p>
      <w:pPr>
        <w:pStyle w:val="745"/>
        <w:widowControl w:val="true"/>
        <w:pBdr/>
        <w:spacing w:after="50"/>
        <w:ind/>
        <w:rPr/>
      </w:pPr>
      <w:r>
        <w:t xml:space="preserve">Remote administrative access uses an approved secure method, MFA and source restrictions where possible.</w:t>
      </w:r>
      <w:r/>
    </w:p>
    <w:p>
      <w:pPr>
        <w:pStyle w:val="745"/>
        <w:widowControl w:val="true"/>
        <w:pBdr/>
        <w:spacing w:after="50"/>
        <w:ind/>
        <w:rPr/>
      </w:pPr>
      <w:r>
        <w:t xml:space="preserve">Critical services should not be directly exposed to the internet without documented business need, secure configuration and monitoring.</w:t>
      </w:r>
      <w:r/>
    </w:p>
    <w:p>
      <w:pPr>
        <w:pStyle w:val="745"/>
        <w:widowControl w:val="true"/>
        <w:pBdr/>
        <w:spacing w:after="50"/>
        <w:ind/>
        <w:rPr/>
      </w:pPr>
      <w:r>
        <w:t xml:space="preserve">Remote staff must use trusted networks; public Wi-Fi requires an approved secure connection method and additional caution.</w:t>
      </w:r>
      <w:r/>
    </w:p>
    <w:p>
      <w:pPr>
        <w:pStyle w:val="745"/>
        <w:widowControl w:val="true"/>
        <w:pBdr/>
        <w:spacing w:after="50"/>
        <w:ind/>
        <w:rPr/>
      </w:pPr>
      <w:r>
        <w:t xml:space="preserve">Network changes are documented and reviewed for unintended exposure.</w:t>
      </w:r>
      <w:r/>
    </w:p>
    <w:p>
      <w:pPr>
        <w:pStyle w:val="716"/>
        <w:widowControl w:val="true"/>
        <w:pBdr/>
        <w:spacing/>
        <w:ind/>
        <w:rPr/>
      </w:pPr>
      <w:r>
        <w:t xml:space="preserve">4.11 Logging, Monitoring and Alerting Policy</w:t>
      </w:r>
      <w:r/>
    </w:p>
    <w:p>
      <w:pPr>
        <w:pStyle w:val="745"/>
        <w:widowControl w:val="true"/>
        <w:pBdr/>
        <w:spacing w:after="50"/>
        <w:ind/>
        <w:rPr/>
      </w:pPr>
      <w:r>
        <w:t xml:space="preserve">Logging must be enabled for identity systems, email, endpoints, firewalls, cloud administration, critical applications and backups where available.</w:t>
      </w:r>
      <w:r/>
    </w:p>
    <w:p>
      <w:pPr>
        <w:pStyle w:val="745"/>
        <w:widowControl w:val="true"/>
        <w:pBdr/>
        <w:spacing w:after="50"/>
        <w:ind/>
        <w:rPr/>
      </w:pPr>
      <w:r>
        <w:t xml:space="preserve">Logs should capture authentication, administrative changes, data-sharing changes, malware alerts and other security-relevant events.</w:t>
      </w:r>
      <w:r/>
    </w:p>
    <w:p>
      <w:pPr>
        <w:pStyle w:val="745"/>
        <w:widowControl w:val="true"/>
        <w:pBdr/>
        <w:spacing w:after="50"/>
        <w:ind/>
        <w:rPr/>
      </w:pPr>
      <w:r>
        <w:t xml:space="preserve">Time synchronization must be enabled so events can be correlated.</w:t>
      </w:r>
      <w:r/>
    </w:p>
    <w:p>
      <w:pPr>
        <w:pStyle w:val="745"/>
        <w:widowControl w:val="true"/>
        <w:pBdr/>
        <w:spacing w:after="50"/>
        <w:ind/>
        <w:rPr/>
      </w:pPr>
      <w:r>
        <w:t xml:space="preserve">High-priority alerts—such as impossible travel, new administrator creation, disabled MFA, malicious software or mass file changes—must be routed to a monitored contact.</w:t>
      </w:r>
      <w:r/>
    </w:p>
    <w:p>
      <w:pPr>
        <w:pStyle w:val="745"/>
        <w:widowControl w:val="true"/>
        <w:pBdr/>
        <w:spacing w:after="50"/>
        <w:ind/>
        <w:rPr/>
      </w:pPr>
      <w:r>
        <w:t xml:space="preserve">Logs relevant to an incident must be preserved from deletion or alteration.</w:t>
      </w:r>
      <w:r/>
    </w:p>
    <w:p>
      <w:pPr>
        <w:pStyle w:val="745"/>
        <w:widowControl w:val="true"/>
        <w:pBdr/>
        <w:spacing w:after="50"/>
        <w:ind/>
        <w:rPr/>
      </w:pPr>
      <w:r>
        <w:t xml:space="preserve">Retention must balance investigation needs, contractual requirements, cost and privacy. A practical baseline is 90 days readily available and one year archived for important security logs, subject to local requirements.</w:t>
      </w:r>
      <w:r/>
    </w:p>
    <w:p>
      <w:pPr>
        <w:pStyle w:val="716"/>
        <w:widowControl w:val="true"/>
        <w:pBdr/>
        <w:spacing/>
        <w:ind/>
        <w:rPr/>
      </w:pPr>
      <w:r>
        <w:t xml:space="preserve">4.12 Third-Party and Cloud Service Security Policy</w:t>
      </w:r>
      <w:r/>
    </w:p>
    <w:p>
      <w:pPr>
        <w:pStyle w:val="745"/>
        <w:widowControl w:val="true"/>
        <w:pBdr/>
        <w:spacing w:after="50"/>
        <w:ind/>
        <w:rPr/>
      </w:pPr>
      <w:r>
        <w:t xml:space="preserve">Before onboarding a supplier, the business evaluates the data accessed, service criticality, security practices, breach history, support, backup, subcontractors and exit process.</w:t>
      </w:r>
      <w:r/>
    </w:p>
    <w:p>
      <w:pPr>
        <w:pStyle w:val="745"/>
        <w:widowControl w:val="true"/>
        <w:pBdr/>
        <w:spacing w:after="50"/>
        <w:ind/>
        <w:rPr/>
      </w:pPr>
      <w:r>
        <w:t xml:space="preserve">Contracts should address security responsibilities, access controls, confidentiality, incident notification, cooperation, data location where relevant, return/deletion of data and service continuity.</w:t>
      </w:r>
      <w:r/>
    </w:p>
    <w:p>
      <w:pPr>
        <w:pStyle w:val="745"/>
        <w:widowControl w:val="true"/>
        <w:pBdr/>
        <w:spacing w:after="50"/>
        <w:ind/>
        <w:rPr/>
      </w:pPr>
      <w:r>
        <w:t xml:space="preserve">Supplier access uses named accounts, least privilege, MFA and time limits. Remote access is disabled when not needed.</w:t>
      </w:r>
      <w:r/>
    </w:p>
    <w:p>
      <w:pPr>
        <w:pStyle w:val="745"/>
        <w:widowControl w:val="true"/>
        <w:pBdr/>
        <w:spacing w:after="50"/>
        <w:ind/>
        <w:rPr/>
      </w:pPr>
      <w:r>
        <w:t xml:space="preserve">Critical suppliers are reviewed at least annually and after significant incidents or ownership/service changes.</w:t>
      </w:r>
      <w:r/>
    </w:p>
    <w:p>
      <w:pPr>
        <w:pStyle w:val="745"/>
        <w:widowControl w:val="true"/>
        <w:pBdr/>
        <w:spacing w:after="50"/>
        <w:ind/>
        <w:rPr/>
      </w:pPr>
      <w:r>
        <w:t xml:space="preserve">The company keeps current vendor contacts and knows how to retrieve its data if the service fails or the relationship ends.</w:t>
      </w:r>
      <w:r/>
    </w:p>
    <w:p>
      <w:pPr>
        <w:pStyle w:val="716"/>
        <w:widowControl w:val="true"/>
        <w:pBdr/>
        <w:spacing/>
        <w:ind/>
        <w:rPr/>
      </w:pPr>
      <w:r>
        <w:t xml:space="preserve">4.13 Physical Security and Clear Workspace Policy</w:t>
      </w:r>
      <w:r/>
    </w:p>
    <w:p>
      <w:pPr>
        <w:pStyle w:val="745"/>
        <w:widowControl w:val="true"/>
        <w:pBdr/>
        <w:spacing w:after="50"/>
        <w:ind/>
        <w:rPr/>
      </w:pPr>
      <w:r>
        <w:t xml:space="preserve">Office access, keys and badges are issued only as needed and recovered when no longer required.</w:t>
      </w:r>
      <w:r/>
    </w:p>
    <w:p>
      <w:pPr>
        <w:pStyle w:val="745"/>
        <w:widowControl w:val="true"/>
        <w:pBdr/>
        <w:spacing w:after="50"/>
        <w:ind/>
        <w:rPr/>
      </w:pPr>
      <w:r>
        <w:t xml:space="preserve">Visitors are supervised in non-public areas and must not be able to view sensitive screens or records.</w:t>
      </w:r>
      <w:r/>
    </w:p>
    <w:p>
      <w:pPr>
        <w:pStyle w:val="745"/>
        <w:widowControl w:val="true"/>
        <w:pBdr/>
        <w:spacing w:after="50"/>
        <w:ind/>
        <w:rPr/>
      </w:pPr>
      <w:r>
        <w:t xml:space="preserve">Screens are locked when unattended. Confidential papers are not left in meeting rooms, printers or visible workspaces.</w:t>
      </w:r>
      <w:r/>
    </w:p>
    <w:p>
      <w:pPr>
        <w:pStyle w:val="745"/>
        <w:widowControl w:val="true"/>
        <w:pBdr/>
        <w:spacing w:after="50"/>
        <w:ind/>
        <w:rPr/>
      </w:pPr>
      <w:r>
        <w:t xml:space="preserve">Network equipment, backup media and restricted records are kept in controlled locations.</w:t>
      </w:r>
      <w:r/>
    </w:p>
    <w:p>
      <w:pPr>
        <w:pStyle w:val="745"/>
        <w:widowControl w:val="true"/>
        <w:pBdr/>
        <w:spacing w:after="50"/>
        <w:ind/>
        <w:rPr/>
      </w:pPr>
      <w:r>
        <w:t xml:space="preserve">Sensitive conversations should not be conducted where unauthorized people can overhear them.</w:t>
      </w:r>
      <w:r/>
    </w:p>
    <w:p>
      <w:pPr>
        <w:pStyle w:val="716"/>
        <w:widowControl w:val="true"/>
        <w:pBdr/>
        <w:spacing/>
        <w:ind/>
        <w:rPr/>
      </w:pPr>
      <w:r>
        <w:t xml:space="preserve">4.14 Security Awareness and Workforce Lifecycle Policy</w:t>
      </w:r>
      <w:r/>
    </w:p>
    <w:p>
      <w:pPr>
        <w:pStyle w:val="745"/>
        <w:widowControl w:val="true"/>
        <w:pBdr/>
        <w:spacing w:after="50"/>
        <w:ind/>
        <w:rPr/>
      </w:pPr>
      <w:r>
        <w:t xml:space="preserve">New starters complete security and privacy orientation before receiving broad access.</w:t>
      </w:r>
      <w:r/>
    </w:p>
    <w:p>
      <w:pPr>
        <w:pStyle w:val="745"/>
        <w:widowControl w:val="true"/>
        <w:pBdr/>
        <w:spacing w:after="50"/>
        <w:ind/>
        <w:rPr/>
      </w:pPr>
      <w:r>
        <w:t xml:space="preserve">All personnel complete annual training on phishing, passwords, MFA, data handling, remote work and incident reporting.</w:t>
      </w:r>
      <w:r/>
    </w:p>
    <w:p>
      <w:pPr>
        <w:pStyle w:val="745"/>
        <w:widowControl w:val="true"/>
        <w:pBdr/>
        <w:spacing w:after="50"/>
        <w:ind/>
        <w:rPr/>
      </w:pPr>
      <w:r>
        <w:t xml:space="preserve">Role-specific training is provided for finance, administrators, executives, customer support and anyone handling restricted data.</w:t>
      </w:r>
      <w:r/>
    </w:p>
    <w:p>
      <w:pPr>
        <w:pStyle w:val="745"/>
        <w:widowControl w:val="true"/>
        <w:pBdr/>
        <w:spacing w:after="50"/>
        <w:ind/>
        <w:rPr/>
      </w:pPr>
      <w:r>
        <w:t xml:space="preserve">The business conducts periodic phishing simulations or practical exercises in a supportive, educational manner.</w:t>
      </w:r>
      <w:r/>
    </w:p>
    <w:p>
      <w:pPr>
        <w:pStyle w:val="745"/>
        <w:widowControl w:val="true"/>
        <w:pBdr/>
        <w:spacing w:after="50"/>
        <w:ind/>
        <w:rPr/>
      </w:pPr>
      <w:r>
        <w:t xml:space="preserve">Managers notify IT promptly of hires, role changes, leaves and departures. Offboarding follows a checklist that revokes accounts, sessions, devices, keys and shared secrets.</w:t>
      </w:r>
      <w:r/>
    </w:p>
    <w:p>
      <w:pPr>
        <w:pStyle w:val="745"/>
        <w:widowControl w:val="true"/>
        <w:pBdr/>
        <w:spacing w:after="50"/>
        <w:ind/>
        <w:rPr/>
      </w:pPr>
      <w:r>
        <w:t xml:space="preserve">Policies are acknowledged at onboarding and after major revisions.</w:t>
      </w:r>
      <w:r/>
    </w:p>
    <w:p>
      <w:pPr>
        <w:pStyle w:val="716"/>
        <w:widowControl w:val="true"/>
        <w:pBdr/>
        <w:spacing/>
        <w:ind/>
        <w:rPr/>
      </w:pPr>
      <w:r>
        <w:t xml:space="preserve">4.15 Policy Enforcement and Review</w:t>
      </w:r>
      <w:r/>
    </w:p>
    <w:p>
      <w:pPr>
        <w:widowControl w:val="true"/>
        <w:pBdr/>
        <w:spacing/>
        <w:ind/>
        <w:rPr/>
      </w:pPr>
      <w:r>
        <w:t xml:space="preserve">Violations may result in access restriction, retraining, disciplinary action, contract rem</w:t>
      </w:r>
      <w:r>
        <w:t xml:space="preserve">edies or legal action, depending on seriousness and applicable law. Enforcement should be consistent and documented. Policies are reviewed at least annually and after significant incidents, business changes, new technology, audit findings or legal changes.</w:t>
      </w:r>
      <w:r/>
    </w:p>
    <w:p>
      <w:pPr>
        <w:pStyle w:val="715"/>
        <w:widowControl w:val="true"/>
        <w:pBdr/>
        <w:spacing/>
        <w:ind/>
        <w:rPr/>
      </w:pPr>
      <w:r>
        <w:t xml:space="preserve">5. Incident Response Plan</w:t>
      </w:r>
      <w:r/>
    </w:p>
    <w:p>
      <w:pPr>
        <w:widowControl w:val="true"/>
        <w:pBdr/>
        <w:spacing/>
        <w:ind/>
        <w:rPr/>
      </w:pPr>
      <w:r>
        <w:t xml:space="preserve">An incident is an occurrence that actually or potentially jeopardizes the confidentiality,</w:t>
      </w:r>
      <w:r>
        <w:t xml:space="preserve"> integrity or availability of information or systems, or violates security policy in a way that requires coordinated action. An event becomes an incident when assessment shows that business risk, unauthorized activity or material disruption may be present.</w:t>
      </w:r>
      <w:r/>
    </w:p>
    <w:p>
      <w:pPr>
        <w:widowControl w:val="true"/>
        <w:pBdr/>
        <w:spacing/>
        <w:ind/>
        <w:jc w:val="center"/>
        <w:rPr/>
      </w:pPr>
      <w:r>
        <mc:AlternateContent>
          <mc:Choice Requires="wpg">
            <w:drawing>
              <wp:inline xmlns:wp="http://schemas.openxmlformats.org/drawingml/2006/wordprocessingDrawing" distT="0" distB="0" distL="0" distR="0">
                <wp:extent cx="6217920" cy="29846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_flow.png"/>
                        <pic:cNvPicPr>
                          <a:picLocks noChangeAspect="1"/>
                        </pic:cNvPicPr>
                        <pic:nvPr/>
                      </pic:nvPicPr>
                      <pic:blipFill rotWithShape="1">
                        <a:blip r:embed="rId13"/>
                        <a:stretch/>
                      </pic:blipFill>
                      <pic:spPr bwMode="auto">
                        <a:xfrm>
                          <a:off x="0" y="0"/>
                          <a:ext cx="6217920" cy="29846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9.60pt;height:235.01pt;mso-wrap-distance-left:0.00pt;mso-wrap-distance-top:0.00pt;mso-wrap-distance-right:0.00pt;mso-wrap-distance-bottom:0.00pt;z-index:1;" stroked="false">
                <v:imagedata r:id="rId13" o:title=""/>
                <o:lock v:ext="edit" rotation="t"/>
              </v:shape>
            </w:pict>
          </mc:Fallback>
        </mc:AlternateContent>
      </w:r>
      <w:r/>
    </w:p>
    <w:p>
      <w:pPr>
        <w:pStyle w:val="716"/>
        <w:widowControl w:val="true"/>
        <w:pBdr/>
        <w:spacing/>
        <w:ind/>
        <w:rPr/>
      </w:pPr>
      <w:r>
        <w:t xml:space="preserve">5.1 Objectives</w:t>
      </w:r>
      <w:r/>
    </w:p>
    <w:p>
      <w:pPr>
        <w:pStyle w:val="745"/>
        <w:widowControl w:val="true"/>
        <w:pBdr/>
        <w:spacing w:after="50"/>
        <w:ind/>
        <w:rPr/>
      </w:pPr>
      <w:r>
        <w:t xml:space="preserve">Protect people, customers, business operations and evidence.</w:t>
      </w:r>
      <w:r/>
    </w:p>
    <w:p>
      <w:pPr>
        <w:pStyle w:val="745"/>
        <w:widowControl w:val="true"/>
        <w:pBdr/>
        <w:spacing w:after="50"/>
        <w:ind/>
        <w:rPr/>
      </w:pPr>
      <w:r>
        <w:t xml:space="preserve">Detect and assess incidents quickly using a consistent severity process.</w:t>
      </w:r>
      <w:r/>
    </w:p>
    <w:p>
      <w:pPr>
        <w:pStyle w:val="745"/>
        <w:widowControl w:val="true"/>
        <w:pBdr/>
        <w:spacing w:after="50"/>
        <w:ind/>
        <w:rPr/>
      </w:pPr>
      <w:r>
        <w:t xml:space="preserve">Contain damage without creating unnecessary business disruption.</w:t>
      </w:r>
      <w:r/>
    </w:p>
    <w:p>
      <w:pPr>
        <w:pStyle w:val="745"/>
        <w:widowControl w:val="true"/>
        <w:pBdr/>
        <w:spacing w:after="50"/>
        <w:ind/>
        <w:rPr/>
      </w:pPr>
      <w:r>
        <w:t xml:space="preserve">Remove the cause and restore systems to a trusted condition.</w:t>
      </w:r>
      <w:r/>
    </w:p>
    <w:p>
      <w:pPr>
        <w:pStyle w:val="745"/>
        <w:widowControl w:val="true"/>
        <w:pBdr/>
        <w:spacing w:after="50"/>
        <w:ind/>
        <w:rPr/>
      </w:pPr>
      <w:r>
        <w:t xml:space="preserve">Meet legal, contractual, insurance and communication obligations.</w:t>
      </w:r>
      <w:r/>
    </w:p>
    <w:p>
      <w:pPr>
        <w:pStyle w:val="745"/>
        <w:widowControl w:val="true"/>
        <w:pBdr/>
        <w:spacing w:after="50"/>
        <w:ind/>
        <w:rPr/>
      </w:pPr>
      <w:r>
        <w:t xml:space="preserve">Document decisions and improve controls after each incident.</w:t>
      </w:r>
      <w:r/>
    </w:p>
    <w:p>
      <w:pPr>
        <w:pStyle w:val="716"/>
        <w:widowControl w:val="true"/>
        <w:pBdr/>
        <w:spacing/>
        <w:ind/>
        <w:rPr/>
      </w:pPr>
      <w:r>
        <w:t xml:space="preserve">5.2 When the Plan Is Activated</w:t>
      </w:r>
      <w:r/>
    </w:p>
    <w:p>
      <w:pPr>
        <w:widowControl w:val="true"/>
        <w:pBdr/>
        <w:spacing/>
        <w:ind/>
        <w:rPr/>
      </w:pPr>
      <w:r>
        <w:t xml:space="preserve">Any workforce member may report a concern. The IT lead or incident coordinator activates the plan when one or more of the following occurs:</w:t>
      </w:r>
      <w:r/>
    </w:p>
    <w:p>
      <w:pPr>
        <w:pStyle w:val="745"/>
        <w:widowControl w:val="true"/>
        <w:pBdr/>
        <w:spacing w:after="50"/>
        <w:ind/>
        <w:rPr/>
      </w:pPr>
      <w:r>
        <w:t xml:space="preserve">A user account, administrator account, email mailbox, bank account or cloud service may be compromised.</w:t>
      </w:r>
      <w:r/>
    </w:p>
    <w:p>
      <w:pPr>
        <w:pStyle w:val="745"/>
        <w:widowControl w:val="true"/>
        <w:pBdr/>
        <w:spacing w:after="50"/>
        <w:ind/>
        <w:rPr/>
      </w:pPr>
      <w:r>
        <w:t xml:space="preserve">Malware, ransomware, unauthorized remote access or destructive activity is detected.</w:t>
      </w:r>
      <w:r/>
    </w:p>
    <w:p>
      <w:pPr>
        <w:pStyle w:val="745"/>
        <w:widowControl w:val="true"/>
        <w:pBdr/>
        <w:spacing w:after="50"/>
        <w:ind/>
        <w:rPr/>
      </w:pPr>
      <w:r>
        <w:t xml:space="preserve">Sensitive information is lost, exposed, sent to the wrong person, publicly shared or accessed without authorization.</w:t>
      </w:r>
      <w:r/>
    </w:p>
    <w:p>
      <w:pPr>
        <w:pStyle w:val="745"/>
        <w:widowControl w:val="true"/>
        <w:pBdr/>
        <w:spacing w:after="50"/>
        <w:ind/>
        <w:rPr/>
      </w:pPr>
      <w:r>
        <w:t xml:space="preserve">A critical system becomes unavailable and malicious activity cannot be ruled out.</w:t>
      </w:r>
      <w:r/>
    </w:p>
    <w:p>
      <w:pPr>
        <w:pStyle w:val="745"/>
        <w:widowControl w:val="true"/>
        <w:pBdr/>
        <w:spacing w:after="50"/>
        <w:ind/>
        <w:rPr/>
      </w:pPr>
      <w:r>
        <w:t xml:space="preserve">A supplier reports a security incident that may affect BrightPath.</w:t>
      </w:r>
      <w:r/>
    </w:p>
    <w:p>
      <w:pPr>
        <w:pStyle w:val="745"/>
        <w:widowControl w:val="true"/>
        <w:pBdr/>
        <w:spacing w:after="50"/>
        <w:ind/>
        <w:rPr/>
      </w:pPr>
      <w:r>
        <w:t xml:space="preserve">Law enforcement, a regulator, a customer or a security researcher reports a credible issue.</w:t>
      </w:r>
      <w:r/>
    </w:p>
    <w:p>
      <w:pPr>
        <w:pStyle w:val="745"/>
        <w:widowControl w:val="true"/>
        <w:pBdr/>
        <w:spacing w:after="50"/>
        <w:ind/>
        <w:rPr/>
      </w:pPr>
      <w:r>
        <w:t xml:space="preserve">The situation could cause significant financial, legal, safety, reputational or operational harm.</w:t>
      </w:r>
      <w:r/>
    </w:p>
    <w:p>
      <w:pPr>
        <w:pStyle w:val="716"/>
        <w:widowControl w:val="true"/>
        <w:pBdr/>
        <w:spacing/>
        <w:ind/>
        <w:rPr/>
      </w:pPr>
      <w:r>
        <w:t xml:space="preserve">5.3 Incident Response Team and RACI</w:t>
      </w:r>
      <w:r/>
    </w:p>
    <w:p>
      <w:pPr>
        <w:widowControl w:val="true"/>
        <w:pBdr/>
        <w:spacing/>
        <w:ind/>
        <w:rPr/>
      </w:pPr>
      <w:r>
        <w:t xml:space="preserve">R = Responsible for performing work; A = Accountable for the outcome or decision; C = Consulted; I = Informed.</w:t>
      </w:r>
      <w:r/>
    </w:p>
    <w:tbl>
      <w:tblPr>
        <w:jc w:val="center"/>
        <w:tblW w:w="0" w:type="auto"/>
        <w:tblBorders/>
        <w:tblLayout w:type="fixed"/>
        <w:tblLook w:val="04A0" w:firstRow="1" w:lastRow="0" w:firstColumn="1" w:lastColumn="0" w:noHBand="0" w:noVBand="1"/>
      </w:tblPr>
      <w:tblGrid>
        <w:gridCol w:w="1419"/>
        <w:gridCol w:w="1419"/>
        <w:gridCol w:w="1419"/>
        <w:gridCol w:w="1419"/>
        <w:gridCol w:w="1419"/>
        <w:gridCol w:w="1419"/>
        <w:gridCol w:w="1419"/>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ind/>
              <w:jc w:val="center"/>
              <w:rPr/>
            </w:pPr>
            <w:r>
              <w:rPr>
                <w:rFonts w:ascii="Arial" w:hAnsi="Arial"/>
                <w:b/>
                <w:color w:val="ffffff"/>
                <w:sz w:val="14"/>
              </w:rPr>
              <w:t xml:space="preserve">Activity</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64" w:type="dxa"/>
            <w:vAlign w:val="center"/>
          </w:tcPr>
          <w:p>
            <w:pPr>
              <w:pBdr/>
              <w:spacing/>
              <w:ind/>
              <w:jc w:val="center"/>
              <w:rPr/>
            </w:pPr>
            <w:r>
              <w:rPr>
                <w:rFonts w:ascii="Arial" w:hAnsi="Arial"/>
                <w:b/>
                <w:color w:val="ffffff"/>
                <w:sz w:val="14"/>
              </w:rPr>
              <w:t xml:space="preserve">CEO</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ind/>
              <w:jc w:val="center"/>
              <w:rPr/>
            </w:pPr>
            <w:r>
              <w:rPr>
                <w:rFonts w:ascii="Arial" w:hAnsi="Arial"/>
                <w:b/>
                <w:color w:val="ffffff"/>
                <w:sz w:val="14"/>
              </w:rPr>
              <w:t xml:space="preserve">Incident coordinator</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ind/>
              <w:jc w:val="center"/>
              <w:rPr/>
            </w:pPr>
            <w:r>
              <w:rPr>
                <w:rFonts w:ascii="Arial" w:hAnsi="Arial"/>
                <w:b/>
                <w:color w:val="ffffff"/>
                <w:sz w:val="14"/>
              </w:rPr>
              <w:t xml:space="preserve">IT/MSP</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ind/>
              <w:jc w:val="center"/>
              <w:rPr/>
            </w:pPr>
            <w:r>
              <w:rPr>
                <w:rFonts w:ascii="Arial" w:hAnsi="Arial"/>
                <w:b/>
                <w:color w:val="ffffff"/>
                <w:sz w:val="14"/>
              </w:rPr>
              <w:t xml:space="preserve">Legal/privacy</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ind/>
              <w:jc w:val="center"/>
              <w:rPr/>
            </w:pPr>
            <w:r>
              <w:rPr>
                <w:rFonts w:ascii="Arial" w:hAnsi="Arial"/>
                <w:b/>
                <w:color w:val="ffffff"/>
                <w:sz w:val="14"/>
              </w:rPr>
              <w:t xml:space="preserve">Comms/HR</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ind/>
              <w:jc w:val="center"/>
              <w:rPr/>
            </w:pPr>
            <w:r>
              <w:rPr>
                <w:rFonts w:ascii="Arial" w:hAnsi="Arial"/>
                <w:b/>
                <w:color w:val="ffffff"/>
                <w:sz w:val="14"/>
              </w:rPr>
              <w:t xml:space="preserve">Business owner</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Declare severity and activate plan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64" w:type="dxa"/>
            <w:vAlign w:val="center"/>
          </w:tcPr>
          <w:p>
            <w:pPr>
              <w:pBdr/>
              <w:spacing w:after="30"/>
              <w:ind/>
              <w:rPr/>
            </w:pPr>
            <w:r>
              <w:rPr>
                <w:rFonts w:ascii="Arial" w:hAnsi="Arial"/>
                <w:color w:val="1f2933"/>
                <w:sz w:val="14"/>
              </w:rPr>
              <w:t xml:space="preserve">I</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A</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C</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I</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C</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Technical investigation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64" w:type="dxa"/>
            <w:vAlign w:val="center"/>
          </w:tcPr>
          <w:p>
            <w:pPr>
              <w:pBdr/>
              <w:spacing w:after="30"/>
              <w:ind/>
              <w:rPr/>
            </w:pPr>
            <w:r>
              <w:rPr>
                <w:rFonts w:ascii="Arial" w:hAnsi="Arial"/>
                <w:color w:val="1f2933"/>
                <w:sz w:val="14"/>
              </w:rPr>
              <w:t xml:space="preserve">I</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A</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C</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I</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C</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Containment and eradication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64" w:type="dxa"/>
            <w:vAlign w:val="center"/>
          </w:tcPr>
          <w:p>
            <w:pPr>
              <w:pBdr/>
              <w:spacing w:after="30"/>
              <w:ind/>
              <w:rPr/>
            </w:pPr>
            <w:r>
              <w:rPr>
                <w:rFonts w:ascii="Arial" w:hAnsi="Arial"/>
                <w:color w:val="1f2933"/>
                <w:sz w:val="14"/>
              </w:rPr>
              <w:t xml:space="preserve">I</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A</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C</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I</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C</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Business continuity decision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64" w:type="dxa"/>
            <w:vAlign w:val="center"/>
          </w:tcPr>
          <w:p>
            <w:pPr>
              <w:pBdr/>
              <w:spacing w:after="30"/>
              <w:ind/>
              <w:rPr/>
            </w:pPr>
            <w:r>
              <w:rPr>
                <w:rFonts w:ascii="Arial" w:hAnsi="Arial"/>
                <w:color w:val="1f2933"/>
                <w:sz w:val="14"/>
              </w:rPr>
              <w:t xml:space="preserve">A</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C</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C</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I</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R</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Legal/regulatory assessment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64" w:type="dxa"/>
            <w:vAlign w:val="center"/>
          </w:tcPr>
          <w:p>
            <w:pPr>
              <w:pBdr/>
              <w:spacing w:after="30"/>
              <w:ind/>
              <w:rPr/>
            </w:pPr>
            <w:r>
              <w:rPr>
                <w:rFonts w:ascii="Arial" w:hAnsi="Arial"/>
                <w:color w:val="1f2933"/>
                <w:sz w:val="14"/>
              </w:rPr>
              <w:t xml:space="preserve">A</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C</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C</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I</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I</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External communication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64" w:type="dxa"/>
            <w:vAlign w:val="center"/>
          </w:tcPr>
          <w:p>
            <w:pPr>
              <w:pBdr/>
              <w:spacing w:after="30"/>
              <w:ind/>
              <w:rPr/>
            </w:pPr>
            <w:r>
              <w:rPr>
                <w:rFonts w:ascii="Arial" w:hAnsi="Arial"/>
                <w:color w:val="1f2933"/>
                <w:sz w:val="14"/>
              </w:rPr>
              <w:t xml:space="preserve">A</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C</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I</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C</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C</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Recovery approval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64" w:type="dxa"/>
            <w:vAlign w:val="center"/>
          </w:tcPr>
          <w:p>
            <w:pPr>
              <w:pBdr/>
              <w:spacing w:after="30"/>
              <w:ind/>
              <w:rPr/>
            </w:pPr>
            <w:r>
              <w:rPr>
                <w:rFonts w:ascii="Arial" w:hAnsi="Arial"/>
                <w:color w:val="1f2933"/>
                <w:sz w:val="14"/>
              </w:rPr>
              <w:t xml:space="preserve">A</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C</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I</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C</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4"/>
              </w:rPr>
              <w:t xml:space="preserve">Lessons learned and corrective actions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864" w:type="dxa"/>
            <w:vAlign w:val="center"/>
          </w:tcPr>
          <w:p>
            <w:pPr>
              <w:pBdr/>
              <w:spacing w:after="30"/>
              <w:ind/>
              <w:rPr/>
            </w:pPr>
            <w:r>
              <w:rPr>
                <w:rFonts w:ascii="Arial" w:hAnsi="Arial"/>
                <w:color w:val="1f2933"/>
                <w:sz w:val="14"/>
              </w:rPr>
              <w:t xml:space="preserve">A</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080" w:type="dxa"/>
            <w:vAlign w:val="center"/>
          </w:tcPr>
          <w:p>
            <w:pPr>
              <w:pBdr/>
              <w:spacing w:after="30"/>
              <w:ind/>
              <w:rPr/>
            </w:pPr>
            <w:r>
              <w:rPr>
                <w:rFonts w:ascii="Arial" w:hAnsi="Arial"/>
                <w:color w:val="1f2933"/>
                <w:sz w:val="14"/>
              </w:rPr>
              <w:t xml:space="preserv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C</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C</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24" w:type="dxa"/>
            <w:vAlign w:val="center"/>
          </w:tcPr>
          <w:p>
            <w:pPr>
              <w:pBdr/>
              <w:spacing w:after="30"/>
              <w:ind/>
              <w:rPr/>
            </w:pPr>
            <w:r>
              <w:rPr>
                <w:rFonts w:ascii="Arial" w:hAnsi="Arial"/>
                <w:color w:val="1f2933"/>
                <w:sz w:val="14"/>
              </w:rPr>
              <w:t xml:space="preserve">R</w:t>
            </w:r>
            <w:r/>
          </w:p>
        </w:tc>
      </w:tr>
    </w:tbl>
    <w:p>
      <w:pPr>
        <w:pStyle w:val="716"/>
        <w:widowControl w:val="true"/>
        <w:pBdr/>
        <w:spacing/>
        <w:ind/>
        <w:rPr/>
      </w:pPr>
      <w:r>
        <w:t xml:space="preserve">5.4 Incident Severity Levels</w:t>
      </w:r>
      <w:r/>
    </w:p>
    <w:tbl>
      <w:tblPr>
        <w:jc w:val="center"/>
        <w:tblW w:w="0" w:type="auto"/>
        <w:tblBorders/>
        <w:tblLayout w:type="fixed"/>
        <w:tblLook w:val="04A0" w:firstRow="1" w:lastRow="0" w:firstColumn="1" w:lastColumn="0" w:noHBand="0" w:noVBand="1"/>
      </w:tblPr>
      <w:tblGrid>
        <w:gridCol w:w="1987"/>
        <w:gridCol w:w="1987"/>
        <w:gridCol w:w="1987"/>
        <w:gridCol w:w="1987"/>
        <w:gridCol w:w="1987"/>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ind/>
              <w:jc w:val="center"/>
              <w:rPr/>
            </w:pPr>
            <w:r>
              <w:rPr>
                <w:rFonts w:ascii="Arial" w:hAnsi="Arial"/>
                <w:b/>
                <w:color w:val="ffffff"/>
                <w:sz w:val="15"/>
              </w:rPr>
              <w:t xml:space="preserve">Level</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ind/>
              <w:jc w:val="center"/>
              <w:rPr/>
            </w:pPr>
            <w:r>
              <w:rPr>
                <w:rFonts w:ascii="Arial" w:hAnsi="Arial"/>
                <w:b/>
                <w:color w:val="ffffff"/>
                <w:sz w:val="15"/>
              </w:rPr>
              <w:t xml:space="preserve">Description</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96" w:type="dxa"/>
            <w:vAlign w:val="center"/>
          </w:tcPr>
          <w:p>
            <w:pPr>
              <w:pBdr/>
              <w:spacing/>
              <w:ind/>
              <w:jc w:val="center"/>
              <w:rPr/>
            </w:pPr>
            <w:r>
              <w:rPr>
                <w:rFonts w:ascii="Arial" w:hAnsi="Arial"/>
                <w:b/>
                <w:color w:val="ffffff"/>
                <w:sz w:val="15"/>
              </w:rPr>
              <w:t xml:space="preserve">Examples</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ind/>
              <w:jc w:val="center"/>
              <w:rPr/>
            </w:pPr>
            <w:r>
              <w:rPr>
                <w:rFonts w:ascii="Arial" w:hAnsi="Arial"/>
                <w:b/>
                <w:color w:val="ffffff"/>
                <w:sz w:val="15"/>
              </w:rPr>
              <w:t xml:space="preserve">Initial response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ind/>
              <w:jc w:val="center"/>
              <w:rPr/>
            </w:pPr>
            <w:r>
              <w:rPr>
                <w:rFonts w:ascii="Arial" w:hAnsi="Arial"/>
                <w:b/>
                <w:color w:val="ffffff"/>
                <w:sz w:val="15"/>
              </w:rPr>
              <w:t xml:space="preserve">Leadership notification</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5"/>
              </w:rPr>
              <w:t xml:space="preserve">SEV-1 Critical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Severe or expanding business impact; likely major data, fraud or extended outage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96" w:type="dxa"/>
            <w:vAlign w:val="center"/>
          </w:tcPr>
          <w:p>
            <w:pPr>
              <w:pBdr/>
              <w:spacing w:after="30"/>
              <w:ind/>
              <w:rPr/>
            </w:pPr>
            <w:r>
              <w:rPr>
                <w:rFonts w:ascii="Arial" w:hAnsi="Arial"/>
                <w:color w:val="1f2933"/>
                <w:sz w:val="15"/>
              </w:rPr>
              <w:t xml:space="preserve">Active ransomware, confirmed large data breach, major payment fraud, critical outage across business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after="30"/>
              <w:ind/>
              <w:rPr/>
            </w:pPr>
            <w:r>
              <w:rPr>
                <w:rFonts w:ascii="Arial" w:hAnsi="Arial"/>
                <w:color w:val="1f2933"/>
                <w:sz w:val="15"/>
              </w:rPr>
              <w:t xml:space="preserve">Immediately; activate full team</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after="30"/>
              <w:ind/>
              <w:rPr/>
            </w:pPr>
            <w:r>
              <w:rPr>
                <w:rFonts w:ascii="Arial" w:hAnsi="Arial"/>
                <w:color w:val="1f2933"/>
                <w:sz w:val="15"/>
              </w:rPr>
              <w:t xml:space="preserve">Immediate, including CEO</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5"/>
              </w:rPr>
              <w:t xml:space="preserve">SEV-2 High</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Significant incident affecting important systems, multiple users or sensitive data</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96" w:type="dxa"/>
            <w:vAlign w:val="center"/>
          </w:tcPr>
          <w:p>
            <w:pPr>
              <w:pBdr/>
              <w:spacing w:after="30"/>
              <w:ind/>
              <w:rPr/>
            </w:pPr>
            <w:r>
              <w:rPr>
                <w:rFonts w:ascii="Arial" w:hAnsi="Arial"/>
                <w:color w:val="1f2933"/>
                <w:sz w:val="15"/>
              </w:rPr>
              <w:t xml:space="preserve">Compromised admin account, malware spread, confirmed confidential data exposure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after="30"/>
              <w:ind/>
              <w:rPr/>
            </w:pPr>
            <w:r>
              <w:rPr>
                <w:rFonts w:ascii="Arial" w:hAnsi="Arial"/>
                <w:color w:val="1f2933"/>
                <w:sz w:val="15"/>
              </w:rPr>
              <w:t xml:space="preserve">Within 30 minutes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after="30"/>
              <w:ind/>
              <w:rPr/>
            </w:pPr>
            <w:r>
              <w:rPr>
                <w:rFonts w:ascii="Arial" w:hAnsi="Arial"/>
                <w:color w:val="1f2933"/>
                <w:sz w:val="15"/>
              </w:rPr>
              <w:t xml:space="preserve">Within 30 minutes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5"/>
              </w:rPr>
              <w:t xml:space="preserve">SEV-3 Medium</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Limited scope with manageable impact and no evidence of major spread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96" w:type="dxa"/>
            <w:vAlign w:val="center"/>
          </w:tcPr>
          <w:p>
            <w:pPr>
              <w:pBdr/>
              <w:spacing w:after="30"/>
              <w:ind/>
              <w:rPr/>
            </w:pPr>
            <w:r>
              <w:rPr>
                <w:rFonts w:ascii="Arial" w:hAnsi="Arial"/>
                <w:color w:val="1f2933"/>
                <w:sz w:val="15"/>
              </w:rPr>
              <w:t xml:space="preserve">Single user compromise contained quickly, lost encrypted laptop, small accidental disclosure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after="30"/>
              <w:ind/>
              <w:rPr/>
            </w:pPr>
            <w:r>
              <w:rPr>
                <w:rFonts w:ascii="Arial" w:hAnsi="Arial"/>
                <w:color w:val="1f2933"/>
                <w:sz w:val="15"/>
              </w:rPr>
              <w:t xml:space="preserve">Within 4 hours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after="30"/>
              <w:ind/>
              <w:rPr/>
            </w:pPr>
            <w:r>
              <w:rPr>
                <w:rFonts w:ascii="Arial" w:hAnsi="Arial"/>
                <w:color w:val="1f2933"/>
                <w:sz w:val="15"/>
              </w:rPr>
              <w:t xml:space="preserve">Same business day</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5"/>
              </w:rPr>
              <w:t xml:space="preserve">SEV-4 Low</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Suspicious event or minor policy issue with little current impact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96" w:type="dxa"/>
            <w:vAlign w:val="center"/>
          </w:tcPr>
          <w:p>
            <w:pPr>
              <w:pBdr/>
              <w:spacing w:after="30"/>
              <w:ind/>
              <w:rPr/>
            </w:pPr>
            <w:r>
              <w:rPr>
                <w:rFonts w:ascii="Arial" w:hAnsi="Arial"/>
                <w:color w:val="1f2933"/>
                <w:sz w:val="15"/>
              </w:rPr>
              <w:t xml:space="preserve">Blocked phishing email, unsuccessful login attempts, minor configuration issue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after="30"/>
              <w:ind/>
              <w:rPr/>
            </w:pPr>
            <w:r>
              <w:rPr>
                <w:rFonts w:ascii="Arial" w:hAnsi="Arial"/>
                <w:color w:val="1f2933"/>
                <w:sz w:val="15"/>
              </w:rPr>
              <w:t xml:space="preserve">Within 1 business day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12" w:type="dxa"/>
            <w:vAlign w:val="center"/>
          </w:tcPr>
          <w:p>
            <w:pPr>
              <w:pBdr/>
              <w:spacing w:after="30"/>
              <w:ind/>
              <w:rPr/>
            </w:pPr>
            <w:r>
              <w:rPr>
                <w:rFonts w:ascii="Arial" w:hAnsi="Arial"/>
                <w:color w:val="1f2933"/>
                <w:sz w:val="15"/>
              </w:rPr>
              <w:t xml:space="preserve">Routine reporting</w:t>
            </w:r>
            <w:r/>
          </w:p>
        </w:tc>
      </w:tr>
    </w:tbl>
    <w:p>
      <w:pPr>
        <w:pStyle w:val="716"/>
        <w:widowControl w:val="true"/>
        <w:pBdr/>
        <w:spacing/>
        <w:ind/>
        <w:rPr/>
      </w:pPr>
      <w:r>
        <w:t xml:space="preserve">5.5 Priority and Impact Factors</w:t>
      </w:r>
      <w:r/>
    </w:p>
    <w:p>
      <w:pPr>
        <w:widowControl w:val="true"/>
        <w:pBdr/>
        <w:spacing/>
        <w:ind/>
        <w:rPr/>
      </w:pPr>
      <w:r>
        <w:t xml:space="preserve">Severity is not determined by technical details alone. The incident coordinator considers:</w:t>
      </w:r>
      <w:r/>
    </w:p>
    <w:p>
      <w:pPr>
        <w:pStyle w:val="745"/>
        <w:widowControl w:val="true"/>
        <w:pBdr/>
        <w:spacing w:after="50"/>
        <w:ind/>
        <w:rPr/>
      </w:pPr>
      <w:r>
        <w:t xml:space="preserve">Safety or physical consequences.</w:t>
      </w:r>
      <w:r/>
    </w:p>
    <w:p>
      <w:pPr>
        <w:pStyle w:val="745"/>
        <w:widowControl w:val="true"/>
        <w:pBdr/>
        <w:spacing w:after="50"/>
        <w:ind/>
        <w:rPr/>
      </w:pPr>
      <w:r>
        <w:t xml:space="preserve">Type and amount of information involved, including personal, financial, health, authentication or confidential business information.</w:t>
      </w:r>
      <w:r/>
    </w:p>
    <w:p>
      <w:pPr>
        <w:pStyle w:val="745"/>
        <w:widowControl w:val="true"/>
        <w:pBdr/>
        <w:spacing w:after="50"/>
        <w:ind/>
        <w:rPr/>
      </w:pPr>
      <w:r>
        <w:t xml:space="preserve">Whether unauthorized access is suspected or confirmed.</w:t>
      </w:r>
      <w:r/>
    </w:p>
    <w:p>
      <w:pPr>
        <w:pStyle w:val="745"/>
        <w:widowControl w:val="true"/>
        <w:pBdr/>
        <w:spacing w:after="50"/>
        <w:ind/>
        <w:rPr/>
      </w:pPr>
      <w:r>
        <w:t xml:space="preserve">Number and importance of systems, users, customers and locations affected.</w:t>
      </w:r>
      <w:r/>
    </w:p>
    <w:p>
      <w:pPr>
        <w:pStyle w:val="745"/>
        <w:widowControl w:val="true"/>
        <w:pBdr/>
        <w:spacing w:after="50"/>
        <w:ind/>
        <w:rPr/>
      </w:pPr>
      <w:r>
        <w:t xml:space="preserve">Current spread, attacker persistence and likelihood of recurrence.</w:t>
      </w:r>
      <w:r/>
    </w:p>
    <w:p>
      <w:pPr>
        <w:pStyle w:val="745"/>
        <w:widowControl w:val="true"/>
        <w:pBdr/>
        <w:spacing w:after="50"/>
        <w:ind/>
        <w:rPr/>
      </w:pPr>
      <w:r>
        <w:t xml:space="preserve">Business interruption and expected recovery time.</w:t>
      </w:r>
      <w:r/>
    </w:p>
    <w:p>
      <w:pPr>
        <w:pStyle w:val="745"/>
        <w:widowControl w:val="true"/>
        <w:pBdr/>
        <w:spacing w:after="50"/>
        <w:ind/>
        <w:rPr/>
      </w:pPr>
      <w:r>
        <w:t xml:space="preserve">Financial loss, fraud, contractual obligations and reputational impact.</w:t>
      </w:r>
      <w:r/>
    </w:p>
    <w:p>
      <w:pPr>
        <w:pStyle w:val="745"/>
        <w:widowControl w:val="true"/>
        <w:pBdr/>
        <w:spacing w:after="50"/>
        <w:ind/>
        <w:rPr/>
      </w:pPr>
      <w:r>
        <w:t xml:space="preserve">Legal, regulatory, insurance or law-enforcement requirements.</w:t>
      </w:r>
      <w:r/>
    </w:p>
    <w:p>
      <w:pPr>
        <w:pStyle w:val="716"/>
        <w:widowControl w:val="true"/>
        <w:pBdr/>
        <w:spacing/>
        <w:ind/>
        <w:rPr/>
      </w:pPr>
      <w:r>
        <w:t xml:space="preserve">5.6 Response Lifecycle</w:t>
      </w:r>
      <w:r/>
    </w:p>
    <w:p>
      <w:pPr>
        <w:pStyle w:val="717"/>
        <w:widowControl w:val="true"/>
        <w:pBdr/>
        <w:spacing/>
        <w:ind/>
        <w:rPr/>
      </w:pPr>
      <w:r>
        <w:t xml:space="preserve">5.6.1 Prepare</w:t>
      </w:r>
      <w:r/>
    </w:p>
    <w:p>
      <w:pPr>
        <w:pStyle w:val="745"/>
        <w:widowControl w:val="true"/>
        <w:pBdr/>
        <w:spacing w:after="50"/>
        <w:ind/>
        <w:rPr/>
      </w:pPr>
      <w:r>
        <w:t xml:space="preserve">Maintain current response contacts, including after-hours numbers and backups for each role.</w:t>
      </w:r>
      <w:r/>
    </w:p>
    <w:p>
      <w:pPr>
        <w:pStyle w:val="745"/>
        <w:widowControl w:val="true"/>
        <w:pBdr/>
        <w:spacing w:after="50"/>
        <w:ind/>
        <w:rPr/>
      </w:pPr>
      <w:r>
        <w:t xml:space="preserve">Keep an offline copy of this plan, network/service information, vendor contacts, recovery procedures and cyber-insurance instructions.</w:t>
      </w:r>
      <w:r/>
    </w:p>
    <w:p>
      <w:pPr>
        <w:pStyle w:val="745"/>
        <w:widowControl w:val="true"/>
        <w:pBdr/>
        <w:spacing w:after="50"/>
        <w:ind/>
        <w:rPr/>
      </w:pPr>
      <w:r>
        <w:t xml:space="preserve">Configure logging, endpoint protection, alerts, backups and time synchronization before an incident.</w:t>
      </w:r>
      <w:r/>
    </w:p>
    <w:p>
      <w:pPr>
        <w:pStyle w:val="745"/>
        <w:widowControl w:val="true"/>
        <w:pBdr/>
        <w:spacing w:after="50"/>
        <w:ind/>
        <w:rPr/>
      </w:pPr>
      <w:r>
        <w:t xml:space="preserve">Prepare clean administrative devices, secure communication options and evidence storage.</w:t>
      </w:r>
      <w:r/>
    </w:p>
    <w:p>
      <w:pPr>
        <w:pStyle w:val="745"/>
        <w:widowControl w:val="true"/>
        <w:pBdr/>
        <w:spacing w:after="50"/>
        <w:ind/>
        <w:rPr/>
      </w:pPr>
      <w:r>
        <w:t xml:space="preserve">Train personnel to report quickly and conduct at least one tabletop exercise each year.</w:t>
      </w:r>
      <w:r/>
    </w:p>
    <w:p>
      <w:pPr>
        <w:pStyle w:val="745"/>
        <w:widowControl w:val="true"/>
        <w:pBdr/>
        <w:spacing w:after="50"/>
        <w:ind/>
        <w:rPr/>
      </w:pPr>
      <w:r>
        <w:t xml:space="preserve">Pre-approve emergency purchasing and specialist engagement thresholds where possible.</w:t>
      </w:r>
      <w:r/>
    </w:p>
    <w:p>
      <w:pPr>
        <w:pStyle w:val="717"/>
        <w:widowControl w:val="true"/>
        <w:pBdr/>
        <w:spacing/>
        <w:ind/>
        <w:rPr/>
      </w:pPr>
      <w:r>
        <w:t xml:space="preserve">5.6.2 Detect, Report and Triage</w:t>
      </w:r>
      <w:r/>
    </w:p>
    <w:p>
      <w:pPr>
        <w:pStyle w:val="745"/>
        <w:widowControl w:val="true"/>
        <w:pBdr/>
        <w:spacing w:after="50"/>
        <w:ind/>
        <w:rPr/>
      </w:pPr>
      <w:r>
        <w:t xml:space="preserve">The reporter records what happened, when it was noticed, affected device/account, actions already taken and any screenshots or messages.</w:t>
      </w:r>
      <w:r/>
    </w:p>
    <w:p>
      <w:pPr>
        <w:pStyle w:val="745"/>
        <w:widowControl w:val="true"/>
        <w:pBdr/>
        <w:spacing w:after="50"/>
        <w:ind/>
        <w:rPr/>
      </w:pPr>
      <w:r>
        <w:t xml:space="preserve">The IT lead opens an incident record and assigns a unique identifier, for example IR-2026-001.</w:t>
      </w:r>
      <w:r/>
    </w:p>
    <w:p>
      <w:pPr>
        <w:pStyle w:val="745"/>
        <w:widowControl w:val="true"/>
        <w:pBdr/>
        <w:spacing w:after="50"/>
        <w:ind/>
        <w:rPr/>
      </w:pPr>
      <w:r>
        <w:t xml:space="preserve">Preserve original alerts, email headers, logs, files and relevant device state. Avoid deleting, forwarding or modifying evidence unnecessarily.</w:t>
      </w:r>
      <w:r/>
    </w:p>
    <w:p>
      <w:pPr>
        <w:pStyle w:val="745"/>
        <w:widowControl w:val="true"/>
        <w:pBdr/>
        <w:spacing w:after="50"/>
        <w:ind/>
        <w:rPr/>
      </w:pPr>
      <w:r>
        <w:t xml:space="preserve">Validate the event using trusted information sources. Determine whether malicious activity, policy violation or accidental exposure is plausible.</w:t>
      </w:r>
      <w:r/>
    </w:p>
    <w:p>
      <w:pPr>
        <w:pStyle w:val="745"/>
        <w:widowControl w:val="true"/>
        <w:pBdr/>
        <w:spacing w:after="50"/>
        <w:ind/>
        <w:rPr/>
      </w:pPr>
      <w:r>
        <w:t xml:space="preserve">Identify affected identities, devices, applications, data, suppliers and business processes.</w:t>
      </w:r>
      <w:r/>
    </w:p>
    <w:p>
      <w:pPr>
        <w:pStyle w:val="745"/>
        <w:widowControl w:val="true"/>
        <w:pBdr/>
        <w:spacing w:after="50"/>
        <w:ind/>
        <w:rPr/>
      </w:pPr>
      <w:r>
        <w:t xml:space="preserve">Assign initial severity and update it as facts change.</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9eaf7"/>
            <w:tcBorders>
              <w:top w:val="single" w:color="2f75b5" w:sz="14" w:space="0"/>
              <w:left w:val="single" w:color="2f75b5" w:sz="14" w:space="0"/>
              <w:bottom w:val="single" w:color="2f75b5" w:sz="6" w:space="0"/>
              <w:right w:val="single" w:color="2f75b5" w:sz="6" w:space="0"/>
            </w:tcBorders>
            <w:tcMar>
              <w:left w:w="160" w:type="dxa"/>
              <w:top w:w="120" w:type="dxa"/>
              <w:right w:w="140" w:type="dxa"/>
              <w:bottom w:w="120" w:type="dxa"/>
            </w:tcMar>
            <w:tcW w:w="9936" w:type="dxa"/>
          </w:tcPr>
          <w:p>
            <w:pPr>
              <w:pBdr/>
              <w:spacing/>
              <w:ind/>
              <w:rPr/>
            </w:pPr>
            <w:r>
              <w:rPr>
                <w:b/>
                <w:color w:val="17365d"/>
                <w:sz w:val="21"/>
              </w:rPr>
              <w:t xml:space="preserve">Employee first-response rule</w:t>
            </w:r>
            <w:r/>
          </w:p>
          <w:p>
            <w:pPr>
              <w:pStyle w:val="877"/>
              <w:pBdr/>
              <w:spacing w:after="0"/>
              <w:ind/>
              <w:rPr/>
            </w:pPr>
            <w:r>
              <w:t xml:space="preserve">Stop, disconnect only when instructed or when active damage is obvious, report immediately, and write down what you observed. Do not run cleanup tools, delete suspicious email, negotiate with an attacker or discuss the incident publicly.</w:t>
            </w:r>
            <w:r/>
          </w:p>
        </w:tc>
      </w:tr>
    </w:tbl>
    <w:p>
      <w:pPr>
        <w:widowControl w:val="true"/>
        <w:pBdr/>
        <w:spacing w:after="0"/>
        <w:ind/>
        <w:rPr/>
      </w:pPr>
      <w:r/>
      <w:r/>
    </w:p>
    <w:p>
      <w:pPr>
        <w:pStyle w:val="717"/>
        <w:widowControl w:val="true"/>
        <w:pBdr/>
        <w:spacing/>
        <w:ind/>
        <w:rPr/>
      </w:pPr>
      <w:r>
        <w:t xml:space="preserve">5.6.3 Contain</w:t>
      </w:r>
      <w:r/>
    </w:p>
    <w:p>
      <w:pPr>
        <w:widowControl w:val="true"/>
        <w:pBdr/>
        <w:spacing/>
        <w:ind/>
        <w:rPr/>
      </w:pPr>
      <w:r>
        <w:t xml:space="preserve">Containment limits damage while preserving the ability to investigate and recover. Actions must be proportionate and documented.</w:t>
      </w:r>
      <w:r/>
    </w:p>
    <w:p>
      <w:pPr>
        <w:pStyle w:val="745"/>
        <w:widowControl w:val="true"/>
        <w:pBdr/>
        <w:spacing w:after="50"/>
        <w:ind/>
        <w:rPr/>
      </w:pPr>
      <w:r>
        <w:t xml:space="preserve">Disable or reset compromised accounts, revoke sessions and tokens, and require fresh MFA enrollment when appropriate.</w:t>
      </w:r>
      <w:r/>
    </w:p>
    <w:p>
      <w:pPr>
        <w:pStyle w:val="745"/>
        <w:widowControl w:val="true"/>
        <w:pBdr/>
        <w:spacing w:after="50"/>
        <w:ind/>
        <w:rPr/>
      </w:pPr>
      <w:r>
        <w:t xml:space="preserve">Isolate affected devices from wired, wireless and cloud synchronization while keeping them powered on when evidence preservation may matter.</w:t>
      </w:r>
      <w:r/>
    </w:p>
    <w:p>
      <w:pPr>
        <w:pStyle w:val="745"/>
        <w:widowControl w:val="true"/>
        <w:pBdr/>
        <w:spacing w:after="50"/>
        <w:ind/>
        <w:rPr/>
      </w:pPr>
      <w:r>
        <w:t xml:space="preserve">Block malicious domains, IP addresses, file hashes, sender addresses or applications using available controls.</w:t>
      </w:r>
      <w:r/>
    </w:p>
    <w:p>
      <w:pPr>
        <w:pStyle w:val="745"/>
        <w:widowControl w:val="true"/>
        <w:pBdr/>
        <w:spacing w:after="50"/>
        <w:ind/>
        <w:rPr/>
      </w:pPr>
      <w:r>
        <w:t xml:space="preserve">Disable exposed services, sharing links, forwarding rules, third-party integrations or vendor access.</w:t>
      </w:r>
      <w:r/>
    </w:p>
    <w:p>
      <w:pPr>
        <w:pStyle w:val="745"/>
        <w:widowControl w:val="true"/>
        <w:pBdr/>
        <w:spacing w:after="50"/>
        <w:ind/>
        <w:rPr/>
      </w:pPr>
      <w:r>
        <w:t xml:space="preserve">Separate clean and affected environments; prevent backup systems from being reached by compromised accounts.</w:t>
      </w:r>
      <w:r/>
    </w:p>
    <w:p>
      <w:pPr>
        <w:pStyle w:val="745"/>
        <w:widowControl w:val="true"/>
        <w:pBdr/>
        <w:spacing w:after="50"/>
        <w:ind/>
        <w:rPr/>
      </w:pPr>
      <w:r>
        <w:t xml:space="preserve">Use temporary business workarounds, such as alternate communications or manual processing, when safe.</w:t>
      </w:r>
      <w:r/>
    </w:p>
    <w:p>
      <w:pPr>
        <w:pStyle w:val="717"/>
        <w:widowControl w:val="true"/>
        <w:pBdr/>
        <w:spacing/>
        <w:ind/>
        <w:rPr/>
      </w:pPr>
      <w:r>
        <w:t xml:space="preserve">5.6.4 Eradicate and Remediate</w:t>
      </w:r>
      <w:r/>
    </w:p>
    <w:p>
      <w:pPr>
        <w:pStyle w:val="745"/>
        <w:widowControl w:val="true"/>
        <w:pBdr/>
        <w:spacing w:after="50"/>
        <w:ind/>
        <w:rPr/>
      </w:pPr>
      <w:r>
        <w:t xml:space="preserve">Identify the root cause and all affected assets rather than cleaning only the first visible symptom.</w:t>
      </w:r>
      <w:r/>
    </w:p>
    <w:p>
      <w:pPr>
        <w:pStyle w:val="745"/>
        <w:widowControl w:val="true"/>
        <w:pBdr/>
        <w:spacing w:after="50"/>
        <w:ind/>
        <w:rPr/>
      </w:pPr>
      <w:r>
        <w:t xml:space="preserve">Remove malware, unauthorized accounts, persistence mechanisms, malicious email rules and exposed credentials.</w:t>
      </w:r>
      <w:r/>
    </w:p>
    <w:p>
      <w:pPr>
        <w:pStyle w:val="745"/>
        <w:widowControl w:val="true"/>
        <w:pBdr/>
        <w:spacing w:after="50"/>
        <w:ind/>
        <w:rPr/>
      </w:pPr>
      <w:r>
        <w:t xml:space="preserve">Patch exploited vulnerabilities and correct misconfigurations.</w:t>
      </w:r>
      <w:r/>
    </w:p>
    <w:p>
      <w:pPr>
        <w:pStyle w:val="745"/>
        <w:widowControl w:val="true"/>
        <w:pBdr/>
        <w:spacing w:after="50"/>
        <w:ind/>
        <w:rPr/>
      </w:pPr>
      <w:r>
        <w:t xml:space="preserve">Rebuild severely compromised systems from trusted media when confidence in cleanup is insufficient.</w:t>
      </w:r>
      <w:r/>
    </w:p>
    <w:p>
      <w:pPr>
        <w:pStyle w:val="745"/>
        <w:widowControl w:val="true"/>
        <w:pBdr/>
        <w:spacing w:after="50"/>
        <w:ind/>
        <w:rPr/>
      </w:pPr>
      <w:r>
        <w:t xml:space="preserve">Rotate relevant passwords, API keys, certificates, tokens and recovery codes.</w:t>
      </w:r>
      <w:r/>
    </w:p>
    <w:p>
      <w:pPr>
        <w:pStyle w:val="745"/>
        <w:widowControl w:val="true"/>
        <w:pBdr/>
        <w:spacing w:after="50"/>
        <w:ind/>
        <w:rPr/>
      </w:pPr>
      <w:r>
        <w:t xml:space="preserve">Search the wider environment for the same indicators and confirm that attacker access has been removed.</w:t>
      </w:r>
      <w:r/>
    </w:p>
    <w:p>
      <w:pPr>
        <w:pStyle w:val="717"/>
        <w:widowControl w:val="true"/>
        <w:pBdr/>
        <w:spacing/>
        <w:ind/>
        <w:rPr/>
      </w:pPr>
      <w:r>
        <w:t xml:space="preserve">5.6.5 Recover</w:t>
      </w:r>
      <w:r/>
    </w:p>
    <w:p>
      <w:pPr>
        <w:pStyle w:val="745"/>
        <w:widowControl w:val="true"/>
        <w:pBdr/>
        <w:spacing w:after="50"/>
        <w:ind/>
        <w:rPr/>
      </w:pPr>
      <w:r>
        <w:t xml:space="preserve">Restore systems in documented business-priority order using clean, verified backups or known-good configurations.</w:t>
      </w:r>
      <w:r/>
    </w:p>
    <w:p>
      <w:pPr>
        <w:pStyle w:val="745"/>
        <w:widowControl w:val="true"/>
        <w:pBdr/>
        <w:spacing w:after="50"/>
        <w:ind/>
        <w:rPr/>
      </w:pPr>
      <w:r>
        <w:t xml:space="preserve">Confirm security controls, logging, updates, account permissions and integrations before returning a system to normal use.</w:t>
      </w:r>
      <w:r/>
    </w:p>
    <w:p>
      <w:pPr>
        <w:pStyle w:val="745"/>
        <w:widowControl w:val="true"/>
        <w:pBdr/>
        <w:spacing w:after="50"/>
        <w:ind/>
        <w:rPr/>
      </w:pPr>
      <w:r>
        <w:t xml:space="preserve">Perform functional testing with the business owner and security validation with IT.</w:t>
      </w:r>
      <w:r/>
    </w:p>
    <w:p>
      <w:pPr>
        <w:pStyle w:val="745"/>
        <w:widowControl w:val="true"/>
        <w:pBdr/>
        <w:spacing w:after="50"/>
        <w:ind/>
        <w:rPr/>
      </w:pPr>
      <w:r>
        <w:t xml:space="preserve">Increase monitoring for recurrence and maintain temporary containment controls until confidence is restored.</w:t>
      </w:r>
      <w:r/>
    </w:p>
    <w:p>
      <w:pPr>
        <w:pStyle w:val="745"/>
        <w:widowControl w:val="true"/>
        <w:pBdr/>
        <w:spacing w:after="50"/>
        <w:ind/>
        <w:rPr/>
      </w:pPr>
      <w:r>
        <w:t xml:space="preserve">Communicate recovery status, remaining limitations and required user actions.</w:t>
      </w:r>
      <w:r/>
    </w:p>
    <w:p>
      <w:pPr>
        <w:pStyle w:val="745"/>
        <w:widowControl w:val="true"/>
        <w:pBdr/>
        <w:spacing w:after="50"/>
        <w:ind/>
        <w:rPr/>
      </w:pPr>
      <w:r>
        <w:t xml:space="preserve">Record actual recovery time and data loss so recovery objectives can be improved.</w:t>
      </w:r>
      <w:r/>
    </w:p>
    <w:p>
      <w:pPr>
        <w:pStyle w:val="717"/>
        <w:widowControl w:val="true"/>
        <w:pBdr/>
        <w:spacing/>
        <w:ind/>
        <w:rPr/>
      </w:pPr>
      <w:r>
        <w:t xml:space="preserve">5.6.6 Post-Incident Review and Improvement</w:t>
      </w:r>
      <w:r/>
    </w:p>
    <w:p>
      <w:pPr>
        <w:widowControl w:val="true"/>
        <w:pBdr/>
        <w:spacing/>
        <w:ind/>
        <w:rPr/>
      </w:pPr>
      <w:r>
        <w:t xml:space="preserve">A review should occur within five business days for SEV-1 and SEV-2 incidents and within ten business days for lower-severity incidents that provide useful lessons. The review is blameless and focuses on systems, decisions and process. It answers:</w:t>
      </w:r>
      <w:r/>
    </w:p>
    <w:p>
      <w:pPr>
        <w:pStyle w:val="745"/>
        <w:widowControl w:val="true"/>
        <w:pBdr/>
        <w:spacing w:after="50"/>
        <w:ind/>
        <w:rPr/>
      </w:pPr>
      <w:r>
        <w:t xml:space="preserve">What happened, and what is the evidence-based timeline?</w:t>
      </w:r>
      <w:r/>
    </w:p>
    <w:p>
      <w:pPr>
        <w:pStyle w:val="745"/>
        <w:widowControl w:val="true"/>
        <w:pBdr/>
        <w:spacing w:after="50"/>
        <w:ind/>
        <w:rPr/>
      </w:pPr>
      <w:r>
        <w:t xml:space="preserve">What was the root cause and which control failures contributed?</w:t>
      </w:r>
      <w:r/>
    </w:p>
    <w:p>
      <w:pPr>
        <w:pStyle w:val="745"/>
        <w:widowControl w:val="true"/>
        <w:pBdr/>
        <w:spacing w:after="50"/>
        <w:ind/>
        <w:rPr/>
      </w:pPr>
      <w:r>
        <w:t xml:space="preserve">What worked well and what delayed response?</w:t>
      </w:r>
      <w:r/>
    </w:p>
    <w:p>
      <w:pPr>
        <w:pStyle w:val="745"/>
        <w:widowControl w:val="true"/>
        <w:pBdr/>
        <w:spacing w:after="50"/>
        <w:ind/>
        <w:rPr/>
      </w:pPr>
      <w:r>
        <w:t xml:space="preserve">What customer, legal, contractual, financial or operational impact occurred?</w:t>
      </w:r>
      <w:r/>
    </w:p>
    <w:p>
      <w:pPr>
        <w:pStyle w:val="745"/>
        <w:widowControl w:val="true"/>
        <w:pBdr/>
        <w:spacing w:after="50"/>
        <w:ind/>
        <w:rPr/>
      </w:pPr>
      <w:r>
        <w:t xml:space="preserve">Which corrective actions are required, who owns them and by when?</w:t>
      </w:r>
      <w:r/>
    </w:p>
    <w:p>
      <w:pPr>
        <w:pStyle w:val="745"/>
        <w:widowControl w:val="true"/>
        <w:pBdr/>
        <w:spacing w:after="50"/>
        <w:ind/>
        <w:rPr/>
      </w:pPr>
      <w:r>
        <w:t xml:space="preserve">Should policies, training, monitoring, architecture, vendor contracts or recovery objectives change?</w:t>
      </w:r>
      <w:r/>
    </w:p>
    <w:p>
      <w:pPr>
        <w:pStyle w:val="716"/>
        <w:widowControl w:val="true"/>
        <w:pBdr/>
        <w:spacing/>
        <w:ind/>
        <w:rPr/>
      </w:pPr>
      <w:r>
        <w:t xml:space="preserve">5.7 Communications Plan</w:t>
      </w:r>
      <w:r/>
    </w:p>
    <w:p>
      <w:pPr>
        <w:widowControl w:val="true"/>
        <w:pBdr/>
        <w:spacing/>
        <w:ind/>
        <w:rPr/>
      </w:pPr>
      <w:r>
        <w:t xml:space="preserve">Accurate, controlled communic</w:t>
      </w:r>
      <w:r>
        <w:t xml:space="preserve">ation reduces confusion and legal/reputational harm. Only authorized spokespersons communicate externally. Facts should be separated from assumptions, and updates should state the time, known impact, actions underway, decisions needed and next update time.</w:t>
      </w:r>
      <w:r/>
    </w:p>
    <w:tbl>
      <w:tblPr>
        <w:jc w:val="center"/>
        <w:tblW w:w="0" w:type="auto"/>
        <w:tblBorders/>
        <w:tblLayout w:type="fixed"/>
        <w:tblLook w:val="04A0" w:firstRow="1" w:lastRow="0" w:firstColumn="1" w:lastColumn="0" w:noHBand="0" w:noVBand="1"/>
      </w:tblPr>
      <w:tblGrid>
        <w:gridCol w:w="2484"/>
        <w:gridCol w:w="2484"/>
        <w:gridCol w:w="2484"/>
        <w:gridCol w:w="2484"/>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ind/>
              <w:jc w:val="center"/>
              <w:rPr/>
            </w:pPr>
            <w:r>
              <w:rPr>
                <w:rFonts w:ascii="Arial" w:hAnsi="Arial"/>
                <w:b/>
                <w:color w:val="ffffff"/>
                <w:sz w:val="15"/>
              </w:rPr>
              <w:t xml:space="preserve">Audience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ind/>
              <w:jc w:val="center"/>
              <w:rPr/>
            </w:pPr>
            <w:r>
              <w:rPr>
                <w:rFonts w:ascii="Arial" w:hAnsi="Arial"/>
                <w:b/>
                <w:color w:val="ffffff"/>
                <w:sz w:val="15"/>
              </w:rPr>
              <w:t xml:space="preserve">Owner</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448" w:type="dxa"/>
            <w:vAlign w:val="center"/>
          </w:tcPr>
          <w:p>
            <w:pPr>
              <w:pBdr/>
              <w:spacing/>
              <w:ind/>
              <w:jc w:val="center"/>
              <w:rPr/>
            </w:pPr>
            <w:r>
              <w:rPr>
                <w:rFonts w:ascii="Arial" w:hAnsi="Arial"/>
                <w:b/>
                <w:color w:val="ffffff"/>
                <w:sz w:val="15"/>
              </w:rPr>
              <w:t xml:space="preserve">Channel</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312" w:type="dxa"/>
            <w:vAlign w:val="center"/>
          </w:tcPr>
          <w:p>
            <w:pPr>
              <w:pBdr/>
              <w:spacing/>
              <w:ind/>
              <w:jc w:val="center"/>
              <w:rPr/>
            </w:pPr>
            <w:r>
              <w:rPr>
                <w:rFonts w:ascii="Arial" w:hAnsi="Arial"/>
                <w:b/>
                <w:color w:val="ffffff"/>
                <w:sz w:val="15"/>
              </w:rPr>
              <w:t xml:space="preserve">Content principles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Pr>
                <w:rFonts w:ascii="Arial" w:hAnsi="Arial"/>
                <w:color w:val="1f2933"/>
                <w:sz w:val="15"/>
              </w:rPr>
              <w:t xml:space="preserve">Employees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Incident coordinator / HR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448" w:type="dxa"/>
            <w:vAlign w:val="center"/>
          </w:tcPr>
          <w:p>
            <w:pPr>
              <w:pBdr/>
              <w:spacing w:after="30"/>
              <w:ind/>
              <w:rPr/>
            </w:pPr>
            <w:r>
              <w:rPr>
                <w:rFonts w:ascii="Arial" w:hAnsi="Arial"/>
                <w:color w:val="1f2933"/>
                <w:sz w:val="15"/>
              </w:rPr>
              <w:t xml:space="preserve">Approved email, phone tree, collaboration tool or alternate channel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312" w:type="dxa"/>
            <w:vAlign w:val="center"/>
          </w:tcPr>
          <w:p>
            <w:pPr>
              <w:pBdr/>
              <w:spacing w:after="30"/>
              <w:ind/>
              <w:rPr/>
            </w:pPr>
            <w:r>
              <w:rPr>
                <w:rFonts w:ascii="Arial" w:hAnsi="Arial"/>
                <w:color w:val="1f2933"/>
                <w:sz w:val="15"/>
              </w:rPr>
              <w:t xml:space="preserve">What happened at an appropriate level, what staff must do, what not to do, where to report</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Pr>
                <w:rFonts w:ascii="Arial" w:hAnsi="Arial"/>
                <w:color w:val="1f2933"/>
                <w:sz w:val="15"/>
              </w:rPr>
              <w:t xml:space="preserve">Customers / affected individuals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Communications with legal/privacy approval</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448" w:type="dxa"/>
            <w:vAlign w:val="center"/>
          </w:tcPr>
          <w:p>
            <w:pPr>
              <w:pBdr/>
              <w:spacing w:after="30"/>
              <w:ind/>
              <w:rPr/>
            </w:pPr>
            <w:r>
              <w:rPr>
                <w:rFonts w:ascii="Arial" w:hAnsi="Arial"/>
                <w:color w:val="1f2933"/>
                <w:sz w:val="15"/>
              </w:rPr>
              <w:t xml:space="preserve">Direct notice, website, letter or other required method</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312" w:type="dxa"/>
            <w:vAlign w:val="center"/>
          </w:tcPr>
          <w:p>
            <w:pPr>
              <w:pBdr/>
              <w:spacing w:after="30"/>
              <w:ind/>
              <w:rPr/>
            </w:pPr>
            <w:r>
              <w:rPr>
                <w:rFonts w:ascii="Arial" w:hAnsi="Arial"/>
                <w:color w:val="1f2933"/>
                <w:sz w:val="15"/>
              </w:rPr>
              <w:t xml:space="preserve">Clear facts, data involved, protective actions, support contact; no speculation</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Pr>
                <w:rFonts w:ascii="Arial" w:hAnsi="Arial"/>
                <w:color w:val="1f2933"/>
                <w:sz w:val="15"/>
              </w:rPr>
              <w:t xml:space="preserve">Suppliers / partners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Business owner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448" w:type="dxa"/>
            <w:vAlign w:val="center"/>
          </w:tcPr>
          <w:p>
            <w:pPr>
              <w:pBdr/>
              <w:spacing w:after="30"/>
              <w:ind/>
              <w:rPr/>
            </w:pPr>
            <w:r>
              <w:rPr>
                <w:rFonts w:ascii="Arial" w:hAnsi="Arial"/>
                <w:color w:val="1f2933"/>
                <w:sz w:val="15"/>
              </w:rPr>
              <w:t xml:space="preserve">Known supplier contact route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312" w:type="dxa"/>
            <w:vAlign w:val="center"/>
          </w:tcPr>
          <w:p>
            <w:pPr>
              <w:pBdr/>
              <w:spacing w:after="30"/>
              <w:ind/>
              <w:rPr/>
            </w:pPr>
            <w:r>
              <w:rPr>
                <w:rFonts w:ascii="Arial" w:hAnsi="Arial"/>
                <w:color w:val="1f2933"/>
                <w:sz w:val="15"/>
              </w:rPr>
              <w:t xml:space="preserve">Operational impact, required containment/cooperation, evidence and service expectations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Pr>
                <w:rFonts w:ascii="Arial" w:hAnsi="Arial"/>
                <w:color w:val="1f2933"/>
                <w:sz w:val="15"/>
              </w:rPr>
              <w:t xml:space="preserve">Cyber insurer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CEO or designated owner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448" w:type="dxa"/>
            <w:vAlign w:val="center"/>
          </w:tcPr>
          <w:p>
            <w:pPr>
              <w:pBdr/>
              <w:spacing w:after="30"/>
              <w:ind/>
              <w:rPr/>
            </w:pPr>
            <w:r>
              <w:rPr>
                <w:rFonts w:ascii="Arial" w:hAnsi="Arial"/>
                <w:color w:val="1f2933"/>
                <w:sz w:val="15"/>
              </w:rPr>
              <w:t xml:space="preserve">Policy incident hotline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312" w:type="dxa"/>
            <w:vAlign w:val="center"/>
          </w:tcPr>
          <w:p>
            <w:pPr>
              <w:pBdr/>
              <w:spacing w:after="30"/>
              <w:ind/>
              <w:rPr/>
            </w:pPr>
            <w:r>
              <w:rPr>
                <w:rFonts w:ascii="Arial" w:hAnsi="Arial"/>
                <w:color w:val="1f2933"/>
                <w:sz w:val="15"/>
              </w:rPr>
              <w:t xml:space="preserve">Follow policy timing and consent requirements before incurring major costs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Pr>
                <w:rFonts w:ascii="Arial" w:hAnsi="Arial"/>
                <w:color w:val="1f2933"/>
                <w:sz w:val="15"/>
              </w:rPr>
              <w:t xml:space="preserve">Law enforcement / regulator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Legal/privacy or executive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448" w:type="dxa"/>
            <w:vAlign w:val="center"/>
          </w:tcPr>
          <w:p>
            <w:pPr>
              <w:pBdr/>
              <w:spacing w:after="30"/>
              <w:ind/>
              <w:rPr/>
            </w:pPr>
            <w:r>
              <w:rPr>
                <w:rFonts w:ascii="Arial" w:hAnsi="Arial"/>
                <w:color w:val="1f2933"/>
                <w:sz w:val="15"/>
              </w:rPr>
              <w:t xml:space="preserve">Official reporting channel</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312" w:type="dxa"/>
            <w:vAlign w:val="center"/>
          </w:tcPr>
          <w:p>
            <w:pPr>
              <w:pBdr/>
              <w:spacing w:after="30"/>
              <w:ind/>
              <w:rPr/>
            </w:pPr>
            <w:r>
              <w:rPr>
                <w:rFonts w:ascii="Arial" w:hAnsi="Arial"/>
                <w:color w:val="1f2933"/>
                <w:sz w:val="15"/>
              </w:rPr>
              <w:t xml:space="preserve">Required or strategically appropriate information, preserving privilege and evidence</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Pr>
                <w:rFonts w:ascii="Arial" w:hAnsi="Arial"/>
                <w:color w:val="1f2933"/>
                <w:sz w:val="15"/>
              </w:rPr>
              <w:t xml:space="preserve">Media / public</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16" w:type="dxa"/>
            <w:vAlign w:val="center"/>
          </w:tcPr>
          <w:p>
            <w:pPr>
              <w:pBdr/>
              <w:spacing w:after="30"/>
              <w:ind/>
              <w:rPr/>
            </w:pPr>
            <w:r>
              <w:rPr>
                <w:rFonts w:ascii="Arial" w:hAnsi="Arial"/>
                <w:color w:val="1f2933"/>
                <w:sz w:val="15"/>
              </w:rPr>
              <w:t xml:space="preserve">Authorized spokesperson only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448" w:type="dxa"/>
            <w:vAlign w:val="center"/>
          </w:tcPr>
          <w:p>
            <w:pPr>
              <w:pBdr/>
              <w:spacing w:after="30"/>
              <w:ind/>
              <w:rPr/>
            </w:pPr>
            <w:r>
              <w:rPr>
                <w:rFonts w:ascii="Arial" w:hAnsi="Arial"/>
                <w:color w:val="1f2933"/>
                <w:sz w:val="15"/>
              </w:rPr>
              <w:t xml:space="preserve">Approved statement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312" w:type="dxa"/>
            <w:vAlign w:val="center"/>
          </w:tcPr>
          <w:p>
            <w:pPr>
              <w:pBdr/>
              <w:spacing w:after="30"/>
              <w:ind/>
              <w:rPr/>
            </w:pPr>
            <w:r>
              <w:rPr>
                <w:rFonts w:ascii="Arial" w:hAnsi="Arial"/>
                <w:color w:val="1f2933"/>
                <w:sz w:val="15"/>
              </w:rPr>
              <w:t xml:space="preserve">Consistent factual message; all staff refer inquiries to spokesperson</w:t>
            </w:r>
            <w:r/>
          </w:p>
        </w:tc>
      </w:tr>
    </w:tbl>
    <w:p>
      <w:pPr>
        <w:pStyle w:val="716"/>
        <w:widowControl w:val="true"/>
        <w:pBdr/>
        <w:spacing/>
        <w:ind/>
        <w:rPr/>
      </w:pPr>
      <w:r>
        <w:t xml:space="preserve">5.8 Evidence Handling and Chain of Custody</w:t>
      </w:r>
      <w:r/>
    </w:p>
    <w:p>
      <w:pPr>
        <w:pStyle w:val="745"/>
        <w:widowControl w:val="true"/>
        <w:pBdr/>
        <w:spacing w:after="50"/>
        <w:ind/>
        <w:rPr/>
      </w:pPr>
      <w:r>
        <w:t xml:space="preserve">Preserve original evidence whenever possible; work from copies for analysis.</w:t>
      </w:r>
      <w:r/>
    </w:p>
    <w:p>
      <w:pPr>
        <w:pStyle w:val="745"/>
        <w:widowControl w:val="true"/>
        <w:pBdr/>
        <w:spacing w:after="50"/>
        <w:ind/>
        <w:rPr/>
      </w:pPr>
      <w:r>
        <w:t xml:space="preserve">Record who collected each item, date/time, source, method, storage location and each transfer.</w:t>
      </w:r>
      <w:r/>
    </w:p>
    <w:p>
      <w:pPr>
        <w:pStyle w:val="745"/>
        <w:widowControl w:val="true"/>
        <w:pBdr/>
        <w:spacing w:after="50"/>
        <w:ind/>
        <w:rPr/>
      </w:pPr>
      <w:r>
        <w:t xml:space="preserve">Use access-controlled, encrypted storage for incident evidence and restrict it to the response team.</w:t>
      </w:r>
      <w:r/>
    </w:p>
    <w:p>
      <w:pPr>
        <w:pStyle w:val="745"/>
        <w:widowControl w:val="true"/>
        <w:pBdr/>
        <w:spacing w:after="50"/>
        <w:ind/>
        <w:rPr/>
      </w:pPr>
      <w:r>
        <w:t xml:space="preserve">Capture time zone and system clock information because timestamps may differ.</w:t>
      </w:r>
      <w:r/>
    </w:p>
    <w:p>
      <w:pPr>
        <w:pStyle w:val="745"/>
        <w:widowControl w:val="true"/>
        <w:pBdr/>
        <w:spacing w:after="50"/>
        <w:ind/>
        <w:rPr/>
      </w:pPr>
      <w:r>
        <w:t xml:space="preserve">Do not power off, wipe, reimage or return a critical device without incident-coordinator approval when forensic evidence may be needed.</w:t>
      </w:r>
      <w:r/>
    </w:p>
    <w:p>
      <w:pPr>
        <w:pStyle w:val="745"/>
        <w:widowControl w:val="true"/>
        <w:pBdr/>
        <w:spacing w:after="50"/>
        <w:ind/>
        <w:rPr/>
      </w:pPr>
      <w:r>
        <w:t xml:space="preserve">Seek qualified forensic or legal support for serious incidents, suspected crime, litigation or regulatory investigations.</w:t>
      </w:r>
      <w:r/>
    </w:p>
    <w:p>
      <w:pPr>
        <w:pStyle w:val="716"/>
        <w:widowControl w:val="true"/>
        <w:pBdr/>
        <w:spacing/>
        <w:ind/>
        <w:rPr/>
      </w:pPr>
      <w:r>
        <w:t xml:space="preserve">5.9 Notification and External Assistance</w:t>
      </w:r>
      <w:r/>
    </w:p>
    <w:p>
      <w:pPr>
        <w:widowControl w:val="true"/>
        <w:pBdr/>
        <w:spacing/>
        <w:ind/>
        <w:rPr/>
      </w:pPr>
      <w:r>
        <w:t xml:space="preserve">The legal/privacy adviser determines whether notification is required and </w:t>
      </w:r>
      <w:r>
        <w:t xml:space="preserve">by when. The decision considers applicable law, contracts, the nature of the data, whether access or acquisition occurred, risk of harm, number and location of affected people, and regulator or industry rules. Notifications should not be delayed merely to </w:t>
      </w:r>
      <w:r>
        <w:t xml:space="preserve">achieve perfect certainty, but they must be accurate and coordinated with investigation needs. FTC guidance for businesses emphasizes securing operations, addressing vulnerabilities, preserving evidence and notifying appropriate parties after a breach [6].</w:t>
      </w:r>
      <w:r/>
    </w:p>
    <w:p>
      <w:pPr>
        <w:widowControl w:val="true"/>
        <w:pBdr/>
        <w:spacing/>
        <w:ind/>
        <w:rPr/>
      </w:pPr>
      <w:r>
        <w:t xml:space="preserve">External assistance may include the managed service provider, cyber insurer, f</w:t>
      </w:r>
      <w:r>
        <w:t xml:space="preserve">orensic investigator, breach counsel, public relations adviser, identity-protection provider, payment processor, cloud vendor, regulator and law enforcement. Contact the insurer early because coverage may require use of approved providers or prior consent.</w:t>
      </w:r>
      <w:r/>
    </w:p>
    <w:p>
      <w:pPr>
        <w:pStyle w:val="715"/>
        <w:widowControl w:val="true"/>
        <w:pBdr/>
        <w:spacing/>
        <w:ind/>
        <w:rPr/>
      </w:pPr>
      <w:r>
        <w:t xml:space="preserve">6. Incident Scenarios and Response Playbooks</w:t>
      </w:r>
      <w:r/>
    </w:p>
    <w:p>
      <w:pPr>
        <w:widowControl w:val="true"/>
        <w:pBdr/>
        <w:spacing/>
        <w:ind/>
        <w:rPr/>
      </w:pPr>
      <w:r>
        <w:t xml:space="preserve">The following fictional scenarios demonstrate how the policies and incident response plan work in practice. Real incidents rarely follow a perfect sequence, so the incident coordinator must adapt while recording decisions and protecting evidence.</w:t>
      </w:r>
      <w:r/>
    </w:p>
    <w:p>
      <w:pPr>
        <w:pStyle w:val="716"/>
        <w:widowControl w:val="true"/>
        <w:pBdr/>
        <w:spacing/>
        <w:ind/>
        <w:rPr/>
      </w:pPr>
      <w:r>
        <w:t xml:space="preserve">6.1 Scenario 1 - Phishing and Business Email Compromise</w:t>
      </w:r>
      <w:r/>
    </w:p>
    <w:p>
      <w:pPr>
        <w:widowControl w:val="true"/>
        <w:pBdr/>
        <w:spacing/>
        <w:ind/>
        <w:rPr/>
      </w:pPr>
      <w:r>
        <w:t xml:space="preserve">Scenario: A finance employee receives an email that appear</w:t>
      </w:r>
      <w:r>
        <w:t xml:space="preserve">s to be a shared Microsoft 365 document. The employee enters credentials and approves an MFA prompt. Thirty minutes later, an attacker creates a hidden mailbox forwarding rule and sends a supplier an altered payment instruction from the employee’s account.</w:t>
      </w:r>
      <w:r/>
    </w:p>
    <w:p>
      <w:pPr>
        <w:pStyle w:val="717"/>
        <w:widowControl w:val="true"/>
        <w:pBdr/>
        <w:spacing/>
        <w:ind/>
        <w:rPr/>
      </w:pPr>
      <w:r>
        <w:t xml:space="preserve">Warning Signs</w:t>
      </w:r>
      <w:r/>
    </w:p>
    <w:p>
      <w:pPr>
        <w:pStyle w:val="745"/>
        <w:widowControl w:val="true"/>
        <w:pBdr/>
        <w:spacing w:after="50"/>
        <w:ind/>
        <w:rPr/>
      </w:pPr>
      <w:r>
        <w:t xml:space="preserve">Unexpected MFA prompts or password-reset messages.</w:t>
      </w:r>
      <w:r/>
    </w:p>
    <w:p>
      <w:pPr>
        <w:pStyle w:val="745"/>
        <w:widowControl w:val="true"/>
        <w:pBdr/>
        <w:spacing w:after="50"/>
        <w:ind/>
        <w:rPr/>
      </w:pPr>
      <w:r>
        <w:t xml:space="preserve">Login from an unusual location or device.</w:t>
      </w:r>
      <w:r/>
    </w:p>
    <w:p>
      <w:pPr>
        <w:pStyle w:val="745"/>
        <w:widowControl w:val="true"/>
        <w:pBdr/>
        <w:spacing w:after="50"/>
        <w:ind/>
        <w:rPr/>
      </w:pPr>
      <w:r>
        <w:t xml:space="preserve">New mailbox forwarding or inbox rules.</w:t>
      </w:r>
      <w:r/>
    </w:p>
    <w:p>
      <w:pPr>
        <w:pStyle w:val="745"/>
        <w:widowControl w:val="true"/>
        <w:pBdr/>
        <w:spacing w:after="50"/>
        <w:ind/>
        <w:rPr/>
      </w:pPr>
      <w:r>
        <w:t xml:space="preserve">Messages in Sent or Deleted Items that the user did not create.</w:t>
      </w:r>
      <w:r/>
    </w:p>
    <w:p>
      <w:pPr>
        <w:pStyle w:val="745"/>
        <w:widowControl w:val="true"/>
        <w:pBdr/>
        <w:spacing w:after="50"/>
        <w:ind/>
        <w:rPr/>
      </w:pPr>
      <w:r>
        <w:t xml:space="preserve">Supplier reports a changed bank account or unusual tone.</w:t>
      </w:r>
      <w:r/>
    </w:p>
    <w:p>
      <w:pPr>
        <w:pStyle w:val="717"/>
        <w:widowControl w:val="true"/>
        <w:pBdr/>
        <w:spacing/>
        <w:ind/>
        <w:rPr/>
      </w:pPr>
      <w:r>
        <w:t xml:space="preserve">Immediate Response</w:t>
      </w:r>
      <w:r/>
    </w:p>
    <w:p>
      <w:pPr>
        <w:pStyle w:val="745"/>
        <w:widowControl w:val="true"/>
        <w:pBdr/>
        <w:spacing w:after="50"/>
        <w:ind/>
        <w:rPr/>
      </w:pPr>
      <w:r>
        <w:t xml:space="preserve">Employee calls the incident contact immediately and stops using the account.</w:t>
      </w:r>
      <w:r/>
    </w:p>
    <w:p>
      <w:pPr>
        <w:pStyle w:val="745"/>
        <w:widowControl w:val="true"/>
        <w:pBdr/>
        <w:spacing w:after="50"/>
        <w:ind/>
        <w:rPr/>
      </w:pPr>
      <w:r>
        <w:t xml:space="preserve">IT disables sign-in or resets the password, revokes active sessions/tokens and blocks legacy authentication.</w:t>
      </w:r>
      <w:r/>
    </w:p>
    <w:p>
      <w:pPr>
        <w:pStyle w:val="745"/>
        <w:widowControl w:val="true"/>
        <w:pBdr/>
        <w:spacing w:after="50"/>
        <w:ind/>
        <w:rPr/>
      </w:pPr>
      <w:r>
        <w:t xml:space="preserve">IT removes malicious forwarding rules, connected applications, delegates and unauthorized MFA methods.</w:t>
      </w:r>
      <w:r/>
    </w:p>
    <w:p>
      <w:pPr>
        <w:pStyle w:val="745"/>
        <w:widowControl w:val="true"/>
        <w:pBdr/>
        <w:spacing w:after="50"/>
        <w:ind/>
        <w:rPr/>
      </w:pPr>
      <w:r>
        <w:t xml:space="preserve">Finance contacts the supplier and bank through known numbers to stop or recover any fraudulent payment.</w:t>
      </w:r>
      <w:r/>
    </w:p>
    <w:p>
      <w:pPr>
        <w:pStyle w:val="745"/>
        <w:widowControl w:val="true"/>
        <w:pBdr/>
        <w:spacing w:after="50"/>
        <w:ind/>
        <w:rPr/>
      </w:pPr>
      <w:r>
        <w:t xml:space="preserve">IT searches for similar phishing messages and checks whether other users clicked or entered credentials.</w:t>
      </w:r>
      <w:r/>
    </w:p>
    <w:p>
      <w:pPr>
        <w:pStyle w:val="745"/>
        <w:widowControl w:val="true"/>
        <w:pBdr/>
        <w:spacing w:after="50"/>
        <w:ind/>
        <w:rPr/>
      </w:pPr>
      <w:r>
        <w:t xml:space="preserve">Preserve the phishing message, headers, sign-in logs, mailbox audit logs and communication with the supplier.</w:t>
      </w:r>
      <w:r/>
    </w:p>
    <w:p>
      <w:pPr>
        <w:pStyle w:val="717"/>
        <w:widowControl w:val="true"/>
        <w:pBdr/>
        <w:spacing/>
        <w:ind/>
        <w:rPr/>
      </w:pPr>
      <w:r>
        <w:t xml:space="preserve">Recovery and Improvement</w:t>
      </w:r>
      <w:r/>
    </w:p>
    <w:p>
      <w:pPr>
        <w:pStyle w:val="745"/>
        <w:widowControl w:val="true"/>
        <w:pBdr/>
        <w:spacing w:after="50"/>
        <w:ind/>
        <w:rPr/>
      </w:pPr>
      <w:r>
        <w:t xml:space="preserve">Re-enable the account with a new unique password and fresh MFA enrollment.</w:t>
      </w:r>
      <w:r/>
    </w:p>
    <w:p>
      <w:pPr>
        <w:pStyle w:val="745"/>
        <w:widowControl w:val="true"/>
        <w:pBdr/>
        <w:spacing w:after="50"/>
        <w:ind/>
        <w:rPr/>
      </w:pPr>
      <w:r>
        <w:t xml:space="preserve">Review sensitive messages and files accessed by the attacker.</w:t>
      </w:r>
      <w:r/>
    </w:p>
    <w:p>
      <w:pPr>
        <w:pStyle w:val="745"/>
        <w:widowControl w:val="true"/>
        <w:pBdr/>
        <w:spacing w:after="50"/>
        <w:ind/>
        <w:rPr/>
      </w:pPr>
      <w:r>
        <w:t xml:space="preserve">Assess whether customer, employee or financial data requires notification.</w:t>
      </w:r>
      <w:r/>
    </w:p>
    <w:p>
      <w:pPr>
        <w:pStyle w:val="745"/>
        <w:widowControl w:val="true"/>
        <w:pBdr/>
        <w:spacing w:after="50"/>
        <w:ind/>
        <w:rPr/>
      </w:pPr>
      <w:r>
        <w:t xml:space="preserve">Strengthen payment-change verification, conditional access and phishing-resistant MFA for finance and administrators.</w:t>
      </w:r>
      <w:r/>
    </w:p>
    <w:p>
      <w:pPr>
        <w:pStyle w:val="745"/>
        <w:widowControl w:val="true"/>
        <w:pBdr/>
        <w:spacing w:after="50"/>
        <w:ind/>
        <w:rPr/>
      </w:pPr>
      <w:r>
        <w:t xml:space="preserve">Deliver targeted training using the scenario without blaming the employee for reporting.</w:t>
      </w:r>
      <w:r/>
    </w:p>
    <w:p>
      <w:pPr>
        <w:pStyle w:val="876"/>
        <w:widowControl w:val="true"/>
        <w:pBdr/>
        <w:spacing/>
        <w:ind/>
        <w:rPr/>
      </w:pPr>
      <w:r>
        <w:t xml:space="preserve">Expected classification: SEV-2 High, upgraded to SEV-1 if substantial payment fraud or major data access is confirmed.</w:t>
      </w:r>
      <w:r/>
    </w:p>
    <w:p>
      <w:pPr>
        <w:pStyle w:val="716"/>
        <w:widowControl w:val="true"/>
        <w:pBdr/>
        <w:spacing/>
        <w:ind/>
        <w:rPr/>
      </w:pPr>
      <w:r>
        <w:t xml:space="preserve">6.2 Scenario 2 - Ransomware on Shared Files</w:t>
      </w:r>
      <w:r/>
    </w:p>
    <w:p>
      <w:pPr>
        <w:widowControl w:val="true"/>
        <w:pBdr/>
        <w:spacing/>
        <w:ind/>
        <w:rPr/>
      </w:pPr>
      <w:r>
        <w:t xml:space="preserve">Scenario: At 9:15 a.m., several employees report that shared files have unusual extensions and cannot be opened. A ransom note appears. Endpoint protection alerts on two laptops, and cloud synchronization is rapidly uploading encrypted files.</w:t>
      </w:r>
      <w:r/>
    </w:p>
    <w:p>
      <w:pPr>
        <w:pStyle w:val="717"/>
        <w:widowControl w:val="true"/>
        <w:pBdr/>
        <w:spacing/>
        <w:ind/>
        <w:rPr/>
      </w:pPr>
      <w:r>
        <w:t xml:space="preserve">First 15 Minutes</w:t>
      </w:r>
      <w:r/>
    </w:p>
    <w:p>
      <w:pPr>
        <w:pStyle w:val="745"/>
        <w:widowControl w:val="true"/>
        <w:pBdr/>
        <w:spacing w:after="50"/>
        <w:ind/>
        <w:rPr/>
      </w:pPr>
      <w:r>
        <w:t xml:space="preserve">Declare a SEV-1 incident and start the incident log.</w:t>
      </w:r>
      <w:r/>
    </w:p>
    <w:p>
      <w:pPr>
        <w:pStyle w:val="745"/>
        <w:widowControl w:val="true"/>
        <w:pBdr/>
        <w:spacing w:after="50"/>
        <w:ind/>
        <w:rPr/>
      </w:pPr>
      <w:r>
        <w:t xml:space="preserve">Isolate affected endpoints and suspend affected synchronization or file-sharing services to limit spread.</w:t>
      </w:r>
      <w:r/>
    </w:p>
    <w:p>
      <w:pPr>
        <w:pStyle w:val="745"/>
        <w:widowControl w:val="true"/>
        <w:pBdr/>
        <w:spacing w:after="50"/>
        <w:ind/>
        <w:rPr/>
      </w:pPr>
      <w:r>
        <w:t xml:space="preserve">Protect backup systems by disabling compromised credentials and verifying that protected copies remain unreachable from the affected environment.</w:t>
      </w:r>
      <w:r/>
    </w:p>
    <w:p>
      <w:pPr>
        <w:pStyle w:val="745"/>
        <w:widowControl w:val="true"/>
        <w:pBdr/>
        <w:spacing w:after="50"/>
        <w:ind/>
        <w:rPr/>
      </w:pPr>
      <w:r>
        <w:t xml:space="preserve">Notify the CEO, MSP, cyber insurer and legal adviser using out-of-band communication if company email may be unsafe.</w:t>
      </w:r>
      <w:r/>
    </w:p>
    <w:p>
      <w:pPr>
        <w:pStyle w:val="745"/>
        <w:widowControl w:val="true"/>
        <w:pBdr/>
        <w:spacing w:after="50"/>
        <w:ind/>
        <w:rPr/>
      </w:pPr>
      <w:r>
        <w:t xml:space="preserve">Preserve ransom notes, alerts, logs and representative encrypted files; do not delete or run unapproved decryptors.</w:t>
      </w:r>
      <w:r/>
    </w:p>
    <w:p>
      <w:pPr>
        <w:pStyle w:val="717"/>
        <w:widowControl w:val="true"/>
        <w:pBdr/>
        <w:spacing/>
        <w:ind/>
        <w:rPr/>
      </w:pPr>
      <w:r>
        <w:t xml:space="preserve">Containment and Investigation</w:t>
      </w:r>
      <w:r/>
    </w:p>
    <w:p>
      <w:pPr>
        <w:pStyle w:val="745"/>
        <w:widowControl w:val="true"/>
        <w:pBdr/>
        <w:spacing w:after="50"/>
        <w:ind/>
        <w:rPr/>
      </w:pPr>
      <w:r>
        <w:t xml:space="preserve">Identify the earliest affected device/account and likely entry method.</w:t>
      </w:r>
      <w:r/>
    </w:p>
    <w:p>
      <w:pPr>
        <w:pStyle w:val="745"/>
        <w:widowControl w:val="true"/>
        <w:pBdr/>
        <w:spacing w:after="50"/>
        <w:ind/>
        <w:rPr/>
      </w:pPr>
      <w:r>
        <w:t xml:space="preserve">Check identity, email, remote-access, firewall and endpoint logs for attacker movement.</w:t>
      </w:r>
      <w:r/>
    </w:p>
    <w:p>
      <w:pPr>
        <w:pStyle w:val="745"/>
        <w:widowControl w:val="true"/>
        <w:pBdr/>
        <w:spacing w:after="50"/>
        <w:ind/>
        <w:rPr/>
      </w:pPr>
      <w:r>
        <w:t xml:space="preserve">Disable compromised accounts and remote access; block known indicators.</w:t>
      </w:r>
      <w:r/>
    </w:p>
    <w:p>
      <w:pPr>
        <w:pStyle w:val="745"/>
        <w:widowControl w:val="true"/>
        <w:pBdr/>
        <w:spacing w:after="50"/>
        <w:ind/>
        <w:rPr/>
      </w:pPr>
      <w:r>
        <w:t xml:space="preserve">Determine which systems and backups are affected and whether data was exfiltrated before encryption.</w:t>
      </w:r>
      <w:r/>
    </w:p>
    <w:p>
      <w:pPr>
        <w:pStyle w:val="745"/>
        <w:widowControl w:val="true"/>
        <w:pBdr/>
        <w:spacing w:after="50"/>
        <w:ind/>
        <w:rPr/>
      </w:pPr>
      <w:r>
        <w:t xml:space="preserve">Coordinate any ransom decision through executive leadership, insurer and legal counsel. Employees must not contact or pay the attacker.</w:t>
      </w:r>
      <w:r/>
    </w:p>
    <w:p>
      <w:pPr>
        <w:pStyle w:val="717"/>
        <w:widowControl w:val="true"/>
        <w:pBdr/>
        <w:spacing/>
        <w:ind/>
        <w:rPr/>
      </w:pPr>
      <w:r>
        <w:t xml:space="preserve">Recovery</w:t>
      </w:r>
      <w:r/>
    </w:p>
    <w:p>
      <w:pPr>
        <w:pStyle w:val="745"/>
        <w:widowControl w:val="true"/>
        <w:pBdr/>
        <w:spacing w:after="50"/>
        <w:ind/>
        <w:rPr/>
      </w:pPr>
      <w:r>
        <w:t xml:space="preserve">Rebuild affected systems from trusted images rather than relying only on malware removal.</w:t>
      </w:r>
      <w:r/>
    </w:p>
    <w:p>
      <w:pPr>
        <w:pStyle w:val="745"/>
        <w:widowControl w:val="true"/>
        <w:pBdr/>
        <w:spacing w:after="50"/>
        <w:ind/>
        <w:rPr/>
      </w:pPr>
      <w:r>
        <w:t xml:space="preserve">Reset privileged credentials and rotate keys/tokens potentially exposed.</w:t>
      </w:r>
      <w:r/>
    </w:p>
    <w:p>
      <w:pPr>
        <w:pStyle w:val="745"/>
        <w:widowControl w:val="true"/>
        <w:pBdr/>
        <w:spacing w:after="50"/>
        <w:ind/>
        <w:rPr/>
      </w:pPr>
      <w:r>
        <w:t xml:space="preserve">Restore clean data in priority order after validating backups and fixing the entry path.</w:t>
      </w:r>
      <w:r/>
    </w:p>
    <w:p>
      <w:pPr>
        <w:pStyle w:val="745"/>
        <w:widowControl w:val="true"/>
        <w:pBdr/>
        <w:spacing w:after="50"/>
        <w:ind/>
        <w:rPr/>
      </w:pPr>
      <w:r>
        <w:t xml:space="preserve">Monitor closely for reinfection and confirm business owners accept restored services.</w:t>
      </w:r>
      <w:r/>
    </w:p>
    <w:p>
      <w:pPr>
        <w:pStyle w:val="745"/>
        <w:widowControl w:val="true"/>
        <w:pBdr/>
        <w:spacing w:after="50"/>
        <w:ind/>
        <w:rPr/>
      </w:pPr>
      <w:r>
        <w:t xml:space="preserve">Complete legal notification analysis and a lessons-learned review.</w:t>
      </w:r>
      <w:r/>
    </w:p>
    <w:p>
      <w:pPr>
        <w:pStyle w:val="876"/>
        <w:widowControl w:val="true"/>
        <w:pBdr/>
        <w:spacing/>
        <w:ind/>
        <w:rPr/>
      </w:pPr>
      <w:r>
        <w:t xml:space="preserve">Success criterion: critical operations resume from trusted systems within the approved recovery target, and no persistence or continued data loss is detected.</w:t>
      </w:r>
      <w:r/>
    </w:p>
    <w:p>
      <w:pPr>
        <w:pStyle w:val="716"/>
        <w:widowControl w:val="true"/>
        <w:pBdr/>
        <w:spacing/>
        <w:ind/>
        <w:rPr/>
      </w:pPr>
      <w:r>
        <w:t xml:space="preserve">6.3 Scenario 3 - Lost or Stolen Laptop</w:t>
      </w:r>
      <w:r/>
    </w:p>
    <w:p>
      <w:pPr>
        <w:widowControl w:val="true"/>
        <w:pBdr/>
        <w:spacing/>
        <w:ind/>
        <w:rPr/>
      </w:pPr>
      <w:r>
        <w:t xml:space="preserve">Scenario: A sales employee reports that a company laptop was stolen from a locked vehicle. The laptop uses full-disk encryption and automatic screen lock, but the employee was signed in to email earlier that day.</w:t>
      </w:r>
      <w:r/>
    </w:p>
    <w:p>
      <w:pPr>
        <w:pStyle w:val="717"/>
        <w:widowControl w:val="true"/>
        <w:pBdr/>
        <w:spacing/>
        <w:ind/>
        <w:rPr/>
      </w:pPr>
      <w:r>
        <w:t xml:space="preserve">Response</w:t>
      </w:r>
      <w:r/>
    </w:p>
    <w:p>
      <w:pPr>
        <w:pStyle w:val="745"/>
        <w:widowControl w:val="true"/>
        <w:pBdr/>
        <w:spacing w:after="50"/>
        <w:ind/>
        <w:rPr/>
      </w:pPr>
      <w:r>
        <w:t xml:space="preserve">Record device identifier, user, last known location/time and whether the device was unlocked or powered on.</w:t>
      </w:r>
      <w:r/>
    </w:p>
    <w:p>
      <w:pPr>
        <w:pStyle w:val="745"/>
        <w:widowControl w:val="true"/>
        <w:pBdr/>
        <w:spacing w:after="50"/>
        <w:ind/>
        <w:rPr/>
      </w:pPr>
      <w:r>
        <w:t xml:space="preserve">Revoke cloud sessions and access tokens; reset credentials if theft of credentials is plausible.</w:t>
      </w:r>
      <w:r/>
    </w:p>
    <w:p>
      <w:pPr>
        <w:pStyle w:val="745"/>
        <w:widowControl w:val="true"/>
        <w:pBdr/>
        <w:spacing w:after="50"/>
        <w:ind/>
        <w:rPr/>
      </w:pPr>
      <w:r>
        <w:t xml:space="preserve">Use device-management tools to lock or wipe the device when safe and available.</w:t>
      </w:r>
      <w:r/>
    </w:p>
    <w:p>
      <w:pPr>
        <w:pStyle w:val="745"/>
        <w:widowControl w:val="true"/>
        <w:pBdr/>
        <w:spacing w:after="50"/>
        <w:ind/>
        <w:rPr/>
      </w:pPr>
      <w:r>
        <w:t xml:space="preserve">Confirm encryption status and inventory the information that may have been stored locally.</w:t>
      </w:r>
      <w:r/>
    </w:p>
    <w:p>
      <w:pPr>
        <w:pStyle w:val="745"/>
        <w:widowControl w:val="true"/>
        <w:pBdr/>
        <w:spacing w:after="50"/>
        <w:ind/>
        <w:rPr/>
      </w:pPr>
      <w:r>
        <w:t xml:space="preserve">File a police report when appropriate and notify insurer or asset-management contacts.</w:t>
      </w:r>
      <w:r/>
    </w:p>
    <w:p>
      <w:pPr>
        <w:pStyle w:val="745"/>
        <w:widowControl w:val="true"/>
        <w:pBdr/>
        <w:spacing w:after="50"/>
        <w:ind/>
        <w:rPr/>
      </w:pPr>
      <w:r>
        <w:t xml:space="preserve">Legal/privacy adviser assesses whether unauthorized access is reasonably possible and whether notification is required.</w:t>
      </w:r>
      <w:r/>
    </w:p>
    <w:p>
      <w:pPr>
        <w:pStyle w:val="745"/>
        <w:widowControl w:val="true"/>
        <w:pBdr/>
        <w:spacing w:after="50"/>
        <w:ind/>
        <w:rPr/>
      </w:pPr>
      <w:r>
        <w:t xml:space="preserve">Issue a replacement device and review why the asset was left in a vehicle.</w:t>
      </w:r>
      <w:r/>
    </w:p>
    <w:p>
      <w:pPr>
        <w:pStyle w:val="876"/>
        <w:widowControl w:val="true"/>
        <w:pBdr/>
        <w:spacing/>
        <w:ind/>
        <w:rPr/>
      </w:pPr>
      <w:r>
        <w:t xml:space="preserve">Expected classification: SEV-3 Medium when strong encryption and access controls are verified; higher if the device was unlocked, unencrypted or contained restricted data.</w:t>
      </w:r>
      <w:r/>
    </w:p>
    <w:p>
      <w:pPr>
        <w:pStyle w:val="716"/>
        <w:widowControl w:val="true"/>
        <w:pBdr/>
        <w:spacing/>
        <w:ind/>
        <w:rPr/>
      </w:pPr>
      <w:r>
        <w:t xml:space="preserve">6.4 Scenario 4 - Accidental Cloud Data Exposure</w:t>
      </w:r>
      <w:r/>
    </w:p>
    <w:p>
      <w:pPr>
        <w:widowControl w:val="true"/>
        <w:pBdr/>
        <w:spacing/>
        <w:ind/>
        <w:rPr/>
      </w:pPr>
      <w:r>
        <w:t xml:space="preserve">Scenario: A project manager sends a public “anyone with the link” folder to a contractor. The folder also contains customer contracts and employee information that the contractor does not need. The link has been active for nine days.</w:t>
      </w:r>
      <w:r/>
    </w:p>
    <w:p>
      <w:pPr>
        <w:pStyle w:val="717"/>
        <w:widowControl w:val="true"/>
        <w:pBdr/>
        <w:spacing/>
        <w:ind/>
        <w:rPr/>
      </w:pPr>
      <w:r>
        <w:t xml:space="preserve">Response</w:t>
      </w:r>
      <w:r/>
    </w:p>
    <w:p>
      <w:pPr>
        <w:pStyle w:val="745"/>
        <w:widowControl w:val="true"/>
        <w:pBdr/>
        <w:spacing w:after="50"/>
        <w:ind/>
        <w:rPr/>
      </w:pPr>
      <w:r>
        <w:t xml:space="preserve">Disable the public link and preserve sharing configuration and audit logs before making other changes.</w:t>
      </w:r>
      <w:r/>
    </w:p>
    <w:p>
      <w:pPr>
        <w:pStyle w:val="745"/>
        <w:widowControl w:val="true"/>
        <w:pBdr/>
        <w:spacing w:after="50"/>
        <w:ind/>
        <w:rPr/>
      </w:pPr>
      <w:r>
        <w:t xml:space="preserve">Identify exactly which files were exposed, their classifications, the exposure period and whether logs show access or download.</w:t>
      </w:r>
      <w:r/>
    </w:p>
    <w:p>
      <w:pPr>
        <w:pStyle w:val="745"/>
        <w:widowControl w:val="true"/>
        <w:pBdr/>
        <w:spacing w:after="50"/>
        <w:ind/>
        <w:rPr/>
      </w:pPr>
      <w:r>
        <w:t xml:space="preserve">Contact the intended contractor through a trusted channel and request confirmation regarding access, copies and deletion; do not rely solely on the request.</w:t>
      </w:r>
      <w:r/>
    </w:p>
    <w:p>
      <w:pPr>
        <w:pStyle w:val="745"/>
        <w:widowControl w:val="true"/>
        <w:pBdr/>
        <w:spacing w:after="50"/>
        <w:ind/>
        <w:rPr/>
      </w:pPr>
      <w:r>
        <w:t xml:space="preserve">Assess whether search engines, unrelated users or automated tools could access the link.</w:t>
      </w:r>
      <w:r/>
    </w:p>
    <w:p>
      <w:pPr>
        <w:pStyle w:val="745"/>
        <w:widowControl w:val="true"/>
        <w:pBdr/>
        <w:spacing w:after="50"/>
        <w:ind/>
        <w:rPr/>
      </w:pPr>
      <w:r>
        <w:t xml:space="preserve">Legal/privacy adviser determines affected individuals, risk of harm and notification obligations.</w:t>
      </w:r>
      <w:r/>
    </w:p>
    <w:p>
      <w:pPr>
        <w:pStyle w:val="745"/>
        <w:widowControl w:val="true"/>
        <w:pBdr/>
        <w:spacing w:after="50"/>
        <w:ind/>
        <w:rPr/>
      </w:pPr>
      <w:r>
        <w:t xml:space="preserve">Correct permissions, remove unnecessary data, and review similar public links across the tenant.</w:t>
      </w:r>
      <w:r/>
    </w:p>
    <w:p>
      <w:pPr>
        <w:pStyle w:val="745"/>
        <w:widowControl w:val="true"/>
        <w:pBdr/>
        <w:spacing w:after="50"/>
        <w:ind/>
        <w:rPr/>
      </w:pPr>
      <w:r>
        <w:t xml:space="preserve">Improve default sharing settings, link expiry, periodic access reviews and user training.</w:t>
      </w:r>
      <w:r/>
    </w:p>
    <w:p>
      <w:pPr>
        <w:pStyle w:val="876"/>
        <w:widowControl w:val="true"/>
        <w:pBdr/>
        <w:spacing/>
        <w:ind/>
        <w:rPr/>
      </w:pPr>
      <w:r>
        <w:t xml:space="preserve">Expected classification: SEV-2 High because confidential personal and contractual data was publicly accessible, even if unauthorized access is not yet confirmed.</w:t>
      </w:r>
      <w:r/>
    </w:p>
    <w:p>
      <w:pPr>
        <w:pStyle w:val="716"/>
        <w:widowControl w:val="true"/>
        <w:pBdr/>
        <w:spacing/>
        <w:ind/>
        <w:rPr/>
      </w:pPr>
      <w:r>
        <w:t xml:space="preserve">6.5 Scenario 5 - Website and Online Service Outage</w:t>
      </w:r>
      <w:r/>
    </w:p>
    <w:p>
      <w:pPr>
        <w:widowControl w:val="true"/>
        <w:pBdr/>
        <w:spacing/>
        <w:ind/>
        <w:rPr/>
      </w:pPr>
      <w:r>
        <w:t xml:space="preserve">Scenario: Customers report that </w:t>
      </w:r>
      <w:r>
        <w:t xml:space="preserve">the company website is unavailable. The hosting provider shows a traffic spike, and the domain administrator receives unexpected password-reset messages. It is unclear whether the cause is a denial-of-service attack, account compromise or provider failure.</w:t>
      </w:r>
      <w:r/>
    </w:p>
    <w:p>
      <w:pPr>
        <w:pStyle w:val="717"/>
        <w:widowControl w:val="true"/>
        <w:pBdr/>
        <w:spacing/>
        <w:ind/>
        <w:rPr/>
      </w:pPr>
      <w:r>
        <w:t xml:space="preserve">Response</w:t>
      </w:r>
      <w:r/>
    </w:p>
    <w:p>
      <w:pPr>
        <w:pStyle w:val="745"/>
        <w:widowControl w:val="true"/>
        <w:pBdr/>
        <w:spacing w:after="50"/>
        <w:ind/>
        <w:rPr/>
      </w:pPr>
      <w:r>
        <w:t xml:space="preserve">Open an incident and verify the outage from independent networks and monitoring tools.</w:t>
      </w:r>
      <w:r/>
    </w:p>
    <w:p>
      <w:pPr>
        <w:pStyle w:val="745"/>
        <w:widowControl w:val="true"/>
        <w:pBdr/>
        <w:spacing w:after="50"/>
        <w:ind/>
        <w:rPr/>
      </w:pPr>
      <w:r>
        <w:t xml:space="preserve">Secure domain, DNS and hosting accounts: confirm MFA, revoke unknown sessions and check recent administrative changes.</w:t>
      </w:r>
      <w:r/>
    </w:p>
    <w:p>
      <w:pPr>
        <w:pStyle w:val="745"/>
        <w:widowControl w:val="true"/>
        <w:pBdr/>
        <w:spacing w:after="50"/>
        <w:ind/>
        <w:rPr/>
      </w:pPr>
      <w:r>
        <w:t xml:space="preserve">Contact the hosting provider through a known support channel and request logs, attack details and mitigation options.</w:t>
      </w:r>
      <w:r/>
    </w:p>
    <w:p>
      <w:pPr>
        <w:pStyle w:val="745"/>
        <w:widowControl w:val="true"/>
        <w:pBdr/>
        <w:spacing w:after="50"/>
        <w:ind/>
        <w:rPr/>
      </w:pPr>
      <w:r>
        <w:t xml:space="preserve">Check whether the website was altered, customer forms were redirected or certificates/DNS records changed.</w:t>
      </w:r>
      <w:r/>
    </w:p>
    <w:p>
      <w:pPr>
        <w:pStyle w:val="745"/>
        <w:widowControl w:val="true"/>
        <w:pBdr/>
        <w:spacing w:after="50"/>
        <w:ind/>
        <w:rPr/>
      </w:pPr>
      <w:r>
        <w:t xml:space="preserve">Use alternate customer communications and a status message through unaffected channels.</w:t>
      </w:r>
      <w:r/>
    </w:p>
    <w:p>
      <w:pPr>
        <w:pStyle w:val="745"/>
        <w:widowControl w:val="true"/>
        <w:pBdr/>
        <w:spacing w:after="50"/>
        <w:ind/>
        <w:rPr/>
      </w:pPr>
      <w:r>
        <w:t xml:space="preserve">Restore trusted configuration, enable provider DDoS protections where available and monitor for recurrence.</w:t>
      </w:r>
      <w:r/>
    </w:p>
    <w:p>
      <w:pPr>
        <w:pStyle w:val="745"/>
        <w:widowControl w:val="true"/>
        <w:pBdr/>
        <w:spacing w:after="50"/>
        <w:ind/>
        <w:rPr/>
      </w:pPr>
      <w:r>
        <w:t xml:space="preserve">Review domain-locking, registrar access, expiry settings and ownership records.</w:t>
      </w:r>
      <w:r/>
    </w:p>
    <w:p>
      <w:pPr>
        <w:pStyle w:val="715"/>
        <w:widowControl w:val="true"/>
        <w:pBdr/>
        <w:spacing/>
        <w:ind/>
        <w:rPr/>
      </w:pPr>
      <w:r>
        <w:t xml:space="preserve">7. Implementation Roadmap</w:t>
      </w:r>
      <w:r/>
    </w:p>
    <w:p>
      <w:pPr>
        <w:widowControl w:val="true"/>
        <w:pBdr/>
        <w:spacing/>
        <w:ind/>
        <w:rPr/>
      </w:pPr>
      <w:r>
        <w:t xml:space="preserve">The roadmap prioritizes controls that reduce the most likely and damaging risks without requiring a large security department. Dates should be assigned to named owners after leadership approval.</w:t>
      </w:r>
      <w:r/>
    </w:p>
    <w:tbl>
      <w:tblPr>
        <w:jc w:val="center"/>
        <w:tblW w:w="0" w:type="auto"/>
        <w:tblBorders/>
        <w:tblLayout w:type="fixed"/>
        <w:tblLook w:val="04A0" w:firstRow="1" w:lastRow="0" w:firstColumn="1" w:lastColumn="0" w:noHBand="0" w:noVBand="1"/>
      </w:tblPr>
      <w:tblGrid>
        <w:gridCol w:w="1987"/>
        <w:gridCol w:w="1987"/>
        <w:gridCol w:w="1987"/>
        <w:gridCol w:w="1987"/>
        <w:gridCol w:w="1987"/>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ind/>
              <w:jc w:val="center"/>
              <w:rPr/>
            </w:pPr>
            <w:r>
              <w:rPr>
                <w:rFonts w:ascii="Arial" w:hAnsi="Arial"/>
                <w:b/>
                <w:color w:val="ffffff"/>
                <w:sz w:val="14"/>
              </w:rPr>
              <w:t xml:space="preserve">Timeframe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ind/>
              <w:jc w:val="center"/>
              <w:rPr/>
            </w:pPr>
            <w:r>
              <w:rPr>
                <w:rFonts w:ascii="Arial" w:hAnsi="Arial"/>
                <w:b/>
                <w:color w:val="ffffff"/>
                <w:sz w:val="14"/>
              </w:rPr>
              <w:t xml:space="preserve">Action</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ind/>
              <w:jc w:val="center"/>
              <w:rPr/>
            </w:pPr>
            <w:r>
              <w:rPr>
                <w:rFonts w:ascii="Arial" w:hAnsi="Arial"/>
                <w:b/>
                <w:color w:val="ffffff"/>
                <w:sz w:val="14"/>
              </w:rPr>
              <w:t xml:space="preserve">Owner</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ind/>
              <w:jc w:val="center"/>
              <w:rPr/>
            </w:pPr>
            <w:r>
              <w:rPr>
                <w:rFonts w:ascii="Arial" w:hAnsi="Arial"/>
                <w:b/>
                <w:color w:val="ffffff"/>
                <w:sz w:val="14"/>
              </w:rPr>
              <w:t xml:space="preserve">Evidence of completion</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ind/>
              <w:jc w:val="center"/>
              <w:rPr/>
            </w:pPr>
            <w:r>
              <w:rPr>
                <w:rFonts w:ascii="Arial" w:hAnsi="Arial"/>
                <w:b/>
                <w:color w:val="ffffff"/>
                <w:sz w:val="14"/>
              </w:rPr>
              <w:t xml:space="preserve">Priority</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1-10</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Approve policy owner, incident coordinator and executive sponsor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CEO</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Signed approval and assigned roles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Critical</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1-15</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Create inventories of devices, software, cloud services, domains, administrators and critical suppliers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 lead</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Inventory reviewed by owners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Critical</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1-20</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Enforce MFA on email, administration, banking, payroll and remote access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IT/MSP</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MFA coverage report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Critical</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1-20</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Verify endpoint encryption, protection and automatic locking</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IT/MSP</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Compliance report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High</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1-25</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Confirm protected backups and perform sample restore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IT/MSP</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Successful restore record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Critical</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1-30</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Publish incident reporting contact and deliver phishing briefing</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IT/HR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Training attendance and quick-reference card</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High</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31-45</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Implement patch deadlines and unsupported-system plan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 lead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Patch dashboard and exceptions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High</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31-50</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Review privileged accounts, former users and mailbox forwarding</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IT/MSP</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Access review sign-off</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High</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31-60</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Configure central security alerts and after-hours escalation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IT/MSP</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Test alert and escalation record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High</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45-65</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Review supplier contracts, access and incident contacts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Business owner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Vendor risk register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Medium-High</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45-70</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Set secure cloud-sharing defaults and remove unnecessary public links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IT/data owners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Sharing review report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High</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60-75</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Run phishing/BEC tabletop exercise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Incident coordinator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Exercise report and actions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High</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60-85</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Run ransomware restore exercise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IT/MSP</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Recovery test results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Critical</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Days 75-90</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Review metrics, residual risks and funding needs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CEO/IT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Quarterly security review</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High</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296" w:type="dxa"/>
            <w:vAlign w:val="center"/>
          </w:tcPr>
          <w:p>
            <w:pPr>
              <w:pBdr/>
              <w:spacing w:after="30"/>
              <w:ind/>
              <w:rPr/>
            </w:pPr>
            <w:r>
              <w:rPr>
                <w:rFonts w:ascii="Arial" w:hAnsi="Arial"/>
                <w:color w:val="1f2933"/>
                <w:sz w:val="14"/>
              </w:rPr>
              <w:t xml:space="preserve">Ongoing</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456" w:type="dxa"/>
            <w:vAlign w:val="center"/>
          </w:tcPr>
          <w:p>
            <w:pPr>
              <w:pBdr/>
              <w:spacing w:after="30"/>
              <w:ind/>
              <w:rPr/>
            </w:pPr>
            <w:r>
              <w:rPr>
                <w:rFonts w:ascii="Arial" w:hAnsi="Arial"/>
                <w:color w:val="1f2933"/>
                <w:sz w:val="14"/>
              </w:rPr>
              <w:t xml:space="preserve">Annual policy review, quarterly access/restore checks and periodic training</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4"/>
              </w:rPr>
              <w:t xml:space="preserve">Assigned owners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04" w:type="dxa"/>
            <w:vAlign w:val="center"/>
          </w:tcPr>
          <w:p>
            <w:pPr>
              <w:pBdr/>
              <w:spacing w:after="30"/>
              <w:ind/>
              <w:rPr/>
            </w:pPr>
            <w:r>
              <w:rPr>
                <w:rFonts w:ascii="Arial" w:hAnsi="Arial"/>
                <w:color w:val="1f2933"/>
                <w:sz w:val="14"/>
              </w:rPr>
              <w:t xml:space="preserve">Review calendar and records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152" w:type="dxa"/>
            <w:vAlign w:val="center"/>
          </w:tcPr>
          <w:p>
            <w:pPr>
              <w:pBdr/>
              <w:spacing w:after="30"/>
              <w:ind/>
              <w:rPr/>
            </w:pPr>
            <w:r>
              <w:rPr>
                <w:rFonts w:ascii="Arial" w:hAnsi="Arial"/>
                <w:color w:val="1f2933"/>
                <w:sz w:val="14"/>
              </w:rPr>
              <w:t xml:space="preserve">High</w:t>
            </w:r>
            <w:r/>
          </w:p>
        </w:tc>
      </w:tr>
    </w:tbl>
    <w:p>
      <w:pPr>
        <w:pStyle w:val="716"/>
        <w:widowControl w:val="true"/>
        <w:pBdr/>
        <w:spacing/>
        <w:ind/>
        <w:rPr/>
      </w:pPr>
      <w:r>
        <w:t xml:space="preserve">7.1 Low-Cost Security Baseline</w:t>
      </w:r>
      <w:r/>
    </w:p>
    <w:p>
      <w:pPr>
        <w:pStyle w:val="745"/>
        <w:widowControl w:val="true"/>
        <w:pBdr/>
        <w:spacing w:after="50"/>
        <w:ind/>
        <w:rPr/>
      </w:pPr>
      <w:r>
        <w:t xml:space="preserve">Use security features already included in cloud and operating-system subscriptions before purchasing complex tools.</w:t>
      </w:r>
      <w:r/>
    </w:p>
    <w:p>
      <w:pPr>
        <w:pStyle w:val="745"/>
        <w:widowControl w:val="true"/>
        <w:pBdr/>
        <w:spacing w:after="50"/>
        <w:ind/>
        <w:rPr/>
      </w:pPr>
      <w:r>
        <w:t xml:space="preserve">Prioritize MFA, unique passwords, automatic updates, full-disk encryption, protected backups and awareness training.</w:t>
      </w:r>
      <w:r/>
    </w:p>
    <w:p>
      <w:pPr>
        <w:pStyle w:val="745"/>
        <w:widowControl w:val="true"/>
        <w:pBdr/>
        <w:spacing w:after="50"/>
        <w:ind/>
        <w:rPr/>
      </w:pPr>
      <w:r>
        <w:t xml:space="preserve">Use a reputable password manager and documented payment-verification process.</w:t>
      </w:r>
      <w:r/>
    </w:p>
    <w:p>
      <w:pPr>
        <w:pStyle w:val="745"/>
        <w:widowControl w:val="true"/>
        <w:pBdr/>
        <w:spacing w:after="50"/>
        <w:ind/>
        <w:rPr/>
      </w:pPr>
      <w:r>
        <w:t xml:space="preserve">Consolidate administrative responsibility so alerts and renewals are not missed, while maintaining separation of duties for financial approvals.</w:t>
      </w:r>
      <w:r/>
    </w:p>
    <w:p>
      <w:pPr>
        <w:pStyle w:val="745"/>
        <w:widowControl w:val="true"/>
        <w:pBdr/>
        <w:spacing w:after="50"/>
        <w:ind/>
        <w:rPr/>
      </w:pPr>
      <w:r>
        <w:t xml:space="preserve">Contract specialist incident help in advance rather than attempting to build every capability internally.</w:t>
      </w:r>
      <w:r/>
    </w:p>
    <w:p>
      <w:pPr>
        <w:pStyle w:val="716"/>
        <w:widowControl w:val="true"/>
        <w:pBdr/>
        <w:spacing/>
        <w:ind/>
        <w:rPr/>
      </w:pPr>
      <w:r>
        <w:t xml:space="preserve">7.2 Tabletop Exercise Method</w:t>
      </w:r>
      <w:r/>
    </w:p>
    <w:p>
      <w:pPr>
        <w:widowControl w:val="true"/>
        <w:pBdr/>
        <w:spacing/>
        <w:ind/>
        <w:rPr/>
      </w:pPr>
      <w:r>
        <w:t xml:space="preserve">A tabletop exercise is a discussion-based simulation. It validates roles and decisions without disrupting production systems. The facil</w:t>
      </w:r>
      <w:r>
        <w:t xml:space="preserve">itator introduces the scenario in stages, asks participants what they would do, records assumptions and evaluates gaps. A 60-90 minute exercise should include the CEO, IT/MSP, finance or affected business owner, HR/communications and legal/privacy contact.</w:t>
      </w:r>
      <w:r/>
    </w:p>
    <w:p>
      <w:pPr>
        <w:pStyle w:val="745"/>
        <w:widowControl w:val="true"/>
        <w:pBdr/>
        <w:spacing w:after="50"/>
        <w:ind/>
        <w:rPr/>
      </w:pPr>
      <w:r>
        <w:t xml:space="preserve">State objectives and rules; the exercise is not a test of individuals.</w:t>
      </w:r>
      <w:r/>
    </w:p>
    <w:p>
      <w:pPr>
        <w:pStyle w:val="745"/>
        <w:widowControl w:val="true"/>
        <w:pBdr/>
        <w:spacing w:after="50"/>
        <w:ind/>
        <w:rPr/>
      </w:pPr>
      <w:r>
        <w:t xml:space="preserve">Present an initial alert and ask who is contacted, through which channel and how severity is assigned.</w:t>
      </w:r>
      <w:r/>
    </w:p>
    <w:p>
      <w:pPr>
        <w:pStyle w:val="745"/>
        <w:widowControl w:val="true"/>
        <w:pBdr/>
        <w:spacing w:after="50"/>
        <w:ind/>
        <w:rPr/>
      </w:pPr>
      <w:r>
        <w:t xml:space="preserve">Introduce new facts, such as customer data exposure, unavailable email or a media inquiry.</w:t>
      </w:r>
      <w:r/>
    </w:p>
    <w:p>
      <w:pPr>
        <w:pStyle w:val="745"/>
        <w:widowControl w:val="true"/>
        <w:pBdr/>
        <w:spacing w:after="50"/>
        <w:ind/>
        <w:rPr/>
      </w:pPr>
      <w:r>
        <w:t xml:space="preserve">Ask who can authorize containment, business shutdown, external specialists, notifications and recovery.</w:t>
      </w:r>
      <w:r/>
    </w:p>
    <w:p>
      <w:pPr>
        <w:pStyle w:val="745"/>
        <w:widowControl w:val="true"/>
        <w:pBdr/>
        <w:spacing w:after="50"/>
        <w:ind/>
        <w:rPr/>
      </w:pPr>
      <w:r>
        <w:t xml:space="preserve">End with a hot-wash: what worked, what was unclear and which actions require an owner and deadline.</w:t>
      </w:r>
      <w:r/>
    </w:p>
    <w:p>
      <w:pPr>
        <w:pStyle w:val="715"/>
        <w:widowControl w:val="true"/>
        <w:pBdr/>
        <w:spacing/>
        <w:ind/>
        <w:rPr/>
      </w:pPr>
      <w:r>
        <w:t xml:space="preserve">8. Monitoring, Metrics and Review</w:t>
      </w:r>
      <w:r/>
    </w:p>
    <w:p>
      <w:pPr>
        <w:widowControl w:val="true"/>
        <w:pBdr/>
        <w:spacing/>
        <w:ind/>
        <w:rPr/>
      </w:pPr>
      <w:r>
        <w:t xml:space="preserve">Metrics should support decisions rather than create paperwork. The business should review a one-page dashboard quarterly and after major incidents.</w:t>
      </w:r>
      <w:r/>
    </w:p>
    <w:tbl>
      <w:tblPr>
        <w:jc w:val="center"/>
        <w:tblW w:w="0" w:type="auto"/>
        <w:tblBorders/>
        <w:tblLayout w:type="fixed"/>
        <w:tblLook w:val="04A0" w:firstRow="1" w:lastRow="0" w:firstColumn="1" w:lastColumn="0" w:noHBand="0" w:noVBand="1"/>
      </w:tblPr>
      <w:tblGrid>
        <w:gridCol w:w="2484"/>
        <w:gridCol w:w="2484"/>
        <w:gridCol w:w="2484"/>
        <w:gridCol w:w="2484"/>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ind/>
              <w:jc w:val="center"/>
              <w:rPr/>
            </w:pPr>
            <w:r>
              <w:rPr>
                <w:rFonts w:ascii="Arial" w:hAnsi="Arial"/>
                <w:b/>
                <w:color w:val="ffffff"/>
                <w:sz w:val="15"/>
              </w:rPr>
              <w:t xml:space="preserve">Measure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ind/>
              <w:jc w:val="center"/>
              <w:rPr/>
            </w:pPr>
            <w:r>
              <w:rPr>
                <w:rFonts w:ascii="Arial" w:hAnsi="Arial"/>
                <w:b/>
                <w:color w:val="ffffff"/>
                <w:sz w:val="15"/>
              </w:rPr>
              <w:t xml:space="preserve">Target</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ind/>
              <w:jc w:val="center"/>
              <w:rPr/>
            </w:pPr>
            <w:r>
              <w:rPr>
                <w:rFonts w:ascii="Arial" w:hAnsi="Arial"/>
                <w:b/>
                <w:color w:val="ffffff"/>
                <w:sz w:val="15"/>
              </w:rPr>
              <w:t xml:space="preserve">Frequency</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ind/>
              <w:jc w:val="center"/>
              <w:rPr/>
            </w:pPr>
            <w:r>
              <w:rPr>
                <w:rFonts w:ascii="Arial" w:hAnsi="Arial"/>
                <w:b/>
                <w:color w:val="ffffff"/>
                <w:sz w:val="15"/>
              </w:rPr>
              <w:t xml:space="preserve">Why it matters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MFA coverage for critical accounts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100%</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Monthly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Reduces account takeover risk</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Supported and inventoried devices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100%</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Monthly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Ensures known, manageable assets</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Critical patches within deadline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&gt;= 95%</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Monthly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Measures vulnerability exposure</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Endpoint encryption and protection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100% company devices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Monthly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Limits loss and malware impact</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Successful backup jobs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&gt;= 98%</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Weekly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Detects backup failures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Successful sample restores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100% of scheduled tests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Quarterly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Proves recoverability</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Privileged account review completed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100%</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Quarterly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Controls excessive access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Phishing-report median time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Under 15 minutes from recognition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Quarterly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Measures reporting culture</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Mean time to acknowledge high incident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Under 30 minutes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Per incident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Measures response readiness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Corrective actions closed on time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&gt;= 90%</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Monthly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Ensures lessons are implemented</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Critical vendors reviewed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100%</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Annually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Manages supply-chain risk</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color w:val="1f2933"/>
                <w:sz w:val="15"/>
              </w:rPr>
              <w:t xml:space="preserve">Tabletop and recovery exercises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Pr>
                <w:rFonts w:ascii="Arial" w:hAnsi="Arial"/>
                <w:color w:val="1f2933"/>
                <w:sz w:val="15"/>
              </w:rPr>
              <w:t xml:space="preserve">At least one of each per year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440" w:type="dxa"/>
            <w:vAlign w:val="center"/>
          </w:tcPr>
          <w:p>
            <w:pPr>
              <w:pBdr/>
              <w:spacing w:after="30"/>
              <w:ind/>
              <w:rPr/>
            </w:pPr>
            <w:r>
              <w:rPr>
                <w:rFonts w:ascii="Arial" w:hAnsi="Arial"/>
                <w:color w:val="1f2933"/>
                <w:sz w:val="15"/>
              </w:rPr>
              <w:t xml:space="preserve">Annually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880" w:type="dxa"/>
            <w:vAlign w:val="center"/>
          </w:tcPr>
          <w:p>
            <w:pPr>
              <w:pBdr/>
              <w:spacing w:after="30"/>
              <w:ind/>
              <w:rPr/>
            </w:pPr>
            <w:r>
              <w:rPr>
                <w:rFonts w:ascii="Arial" w:hAnsi="Arial"/>
                <w:color w:val="1f2933"/>
                <w:sz w:val="15"/>
              </w:rPr>
              <w:t xml:space="preserve">Validates plans</w:t>
            </w:r>
            <w:r/>
          </w:p>
        </w:tc>
      </w:tr>
    </w:tbl>
    <w:p>
      <w:pPr>
        <w:pStyle w:val="716"/>
        <w:widowControl w:val="true"/>
        <w:pBdr/>
        <w:spacing/>
        <w:ind/>
        <w:rPr/>
      </w:pPr>
      <w:r>
        <w:t xml:space="preserve">8.1 Audit and Assurance</w:t>
      </w:r>
      <w:r/>
    </w:p>
    <w:p>
      <w:pPr>
        <w:widowControl w:val="true"/>
        <w:pBdr/>
        <w:spacing/>
        <w:ind/>
        <w:rPr/>
      </w:pPr>
      <w:r>
        <w:t xml:space="preserve">The cybersecurity coordinator should retain evidence of policy approval, training, access reviews, patch complianc</w:t>
      </w:r>
      <w:r>
        <w:t xml:space="preserve">e, backup tests, incident records, vendor reviews and corrective actions. Independent review may be performed by the MSP, internal audit, a consultant, customer assurance process or penetration tester. Findings should be risk-ranked and tracked to closure.</w:t>
      </w:r>
      <w:r/>
    </w:p>
    <w:p>
      <w:pPr>
        <w:pStyle w:val="715"/>
        <w:widowControl w:val="true"/>
        <w:pBdr/>
        <w:spacing/>
        <w:ind/>
        <w:rPr/>
      </w:pPr>
      <w:r>
        <w:t xml:space="preserve">9. Conclusion</w:t>
      </w:r>
      <w:r/>
    </w:p>
    <w:p>
      <w:pPr>
        <w:widowControl w:val="true"/>
        <w:pBdr/>
        <w:spacing/>
        <w:ind/>
        <w:rPr/>
      </w:pPr>
      <w:r>
        <w:t xml:space="preserve">A small business does not need a large security department to make meaningful progress, but it does need clear ownership, disciplined basic controls and a practiced response process. BrightPath’s highest prio</w:t>
      </w:r>
      <w:r>
        <w:t xml:space="preserve">rities are identity protection, phishing resistance, patching, endpoint security, protected backups, safe data sharing, supplier oversight and rapid reporting. These controls address the routes through which common incidents become serious business crises.</w:t>
      </w:r>
      <w:r/>
    </w:p>
    <w:p>
      <w:pPr>
        <w:widowControl w:val="true"/>
        <w:pBdr/>
        <w:spacing/>
        <w:ind/>
        <w:rPr/>
      </w:pPr>
      <w:r>
        <w:t xml:space="preserve">The incident response plan turns an uncertain emergency into a managed process. It defines who leads, how severity is assigned, what must happen in the first minutes and hours, how evidence and com</w:t>
      </w:r>
      <w:r>
        <w:t xml:space="preserve">munications are controlled, and how systems return to trusted operation. The scenarios demonstrate that response is not purely technical: finance, leadership, legal/privacy, communications, human resources, vendors and insurers may all have critical roles.</w:t>
      </w:r>
      <w:r/>
    </w:p>
    <w:p>
      <w:pPr>
        <w:widowControl w:val="true"/>
        <w:pBdr/>
        <w:spacing/>
        <w:ind/>
        <w:rPr/>
      </w:pPr>
      <w:r>
        <w:t xml:space="preserve">The final measure of success is resilience. The organization should be able to continue or restore essential services, protect affected people, make timely de</w:t>
      </w:r>
      <w:r>
        <w:t xml:space="preserve">cisions based on reliable facts and reduce the chance of recurrence. By implementing the 90-day roadmap and reviewing the program regularly, the business can establish a practical cybersecurity culture that supports customer trust and long-term operations.</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9eaf7"/>
            <w:tcBorders>
              <w:top w:val="single" w:color="2f75b5" w:sz="14" w:space="0"/>
              <w:left w:val="single" w:color="2f75b5" w:sz="14" w:space="0"/>
              <w:bottom w:val="single" w:color="2f75b5" w:sz="6" w:space="0"/>
              <w:right w:val="single" w:color="2f75b5" w:sz="6" w:space="0"/>
            </w:tcBorders>
            <w:tcMar>
              <w:left w:w="160" w:type="dxa"/>
              <w:top w:w="120" w:type="dxa"/>
              <w:right w:w="140" w:type="dxa"/>
              <w:bottom w:w="120" w:type="dxa"/>
            </w:tcMar>
            <w:tcW w:w="9936" w:type="dxa"/>
          </w:tcPr>
          <w:p>
            <w:pPr>
              <w:pBdr/>
              <w:spacing/>
              <w:ind/>
              <w:rPr/>
            </w:pPr>
            <w:r>
              <w:rPr>
                <w:b/>
                <w:color w:val="17365d"/>
                <w:sz w:val="21"/>
              </w:rPr>
              <w:t xml:space="preserve">Final recommendation</w:t>
            </w:r>
            <w:r/>
          </w:p>
          <w:p>
            <w:pPr>
              <w:pStyle w:val="877"/>
              <w:pBdr/>
              <w:spacing w:after="0"/>
              <w:ind/>
              <w:rPr/>
            </w:pPr>
            <w:r>
              <w:t xml:space="preserve">Approve the policy suite, name the incident team, enforce MFA, verify recoverable backups, publish the reporting contact and conduct the first tabletop exercise within 90 days.</w:t>
            </w:r>
            <w:r/>
          </w:p>
        </w:tc>
      </w:tr>
    </w:tbl>
    <w:p>
      <w:pPr>
        <w:widowControl w:val="true"/>
        <w:pBdr/>
        <w:spacing w:after="0"/>
        <w:ind/>
        <w:rPr/>
      </w:pPr>
      <w:r/>
      <w:r/>
    </w:p>
    <w:p>
      <w:pPr>
        <w:pStyle w:val="715"/>
        <w:widowControl w:val="true"/>
        <w:pBdr/>
        <w:spacing/>
        <w:ind/>
        <w:rPr/>
      </w:pPr>
      <w:r>
        <w:t xml:space="preserve">Appendix A - Incident Report Form</w:t>
      </w:r>
      <w:r/>
    </w:p>
    <w:tbl>
      <w:tblPr>
        <w:jc w:val="center"/>
        <w:tblW w:w="0" w:type="auto"/>
        <w:tblBorders/>
        <w:tblLayout w:type="fixed"/>
        <w:tblLook w:val="04A0" w:firstRow="1" w:lastRow="0" w:firstColumn="1" w:lastColumn="0" w:noHBand="0" w:noVBand="1"/>
      </w:tblPr>
      <w:tblGrid>
        <w:gridCol w:w="4968"/>
        <w:gridCol w:w="4968"/>
      </w:tblGrid>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Incident ID</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Date/time reported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Reporter name and contact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How detected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Affected user/account/device/system</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What was observed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Actions already taken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Potential data involved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Business services affected</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Initial severity and reason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Incident coordinator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Technical lead / provider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Containment actions and times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Evidence locations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Notifications and approvals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7"/>
              </w:rPr>
              <w:t xml:space="preserve">Current status / next update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7"/>
              </w:rPr>
            </w:r>
            <w:r/>
          </w:p>
        </w:tc>
      </w:tr>
    </w:tbl>
    <w:p>
      <w:pPr>
        <w:pStyle w:val="715"/>
        <w:widowControl w:val="true"/>
        <w:pBdr/>
        <w:spacing/>
        <w:ind/>
        <w:rPr/>
      </w:pPr>
      <w:r>
        <w:t xml:space="preserve">Appendix B - Incident Contact List Template</w:t>
      </w:r>
      <w:r/>
    </w:p>
    <w:tbl>
      <w:tblPr>
        <w:jc w:val="center"/>
        <w:tblW w:w="0" w:type="auto"/>
        <w:tblBorders/>
        <w:tblLayout w:type="fixed"/>
        <w:tblLook w:val="04A0" w:firstRow="1" w:lastRow="0" w:firstColumn="1" w:lastColumn="0" w:noHBand="0" w:noVBand="1"/>
      </w:tblPr>
      <w:tblGrid>
        <w:gridCol w:w="1987"/>
        <w:gridCol w:w="1987"/>
        <w:gridCol w:w="1987"/>
        <w:gridCol w:w="1987"/>
        <w:gridCol w:w="1987"/>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ind/>
              <w:jc w:val="center"/>
              <w:rPr/>
            </w:pPr>
            <w:r>
              <w:rPr>
                <w:rFonts w:ascii="Arial" w:hAnsi="Arial"/>
                <w:b/>
                <w:color w:val="ffffff"/>
                <w:sz w:val="15"/>
              </w:rPr>
              <w:t xml:space="preserve">Role / organization</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ind/>
              <w:jc w:val="center"/>
              <w:rPr/>
            </w:pPr>
            <w:r>
              <w:rPr>
                <w:rFonts w:ascii="Arial" w:hAnsi="Arial"/>
                <w:b/>
                <w:color w:val="ffffff"/>
                <w:sz w:val="15"/>
              </w:rPr>
              <w:t xml:space="preserve">Primary contact</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ind/>
              <w:jc w:val="center"/>
              <w:rPr/>
            </w:pPr>
            <w:r>
              <w:rPr>
                <w:rFonts w:ascii="Arial" w:hAnsi="Arial"/>
                <w:b/>
                <w:color w:val="ffffff"/>
                <w:sz w:val="15"/>
              </w:rPr>
              <w:t xml:space="preserve">After-hours contact</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ind/>
              <w:jc w:val="center"/>
              <w:rPr/>
            </w:pPr>
            <w:r>
              <w:rPr>
                <w:rFonts w:ascii="Arial" w:hAnsi="Arial"/>
                <w:b/>
                <w:color w:val="ffffff"/>
                <w:sz w:val="15"/>
              </w:rPr>
              <w:t xml:space="preserve">Alternate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ind/>
              <w:jc w:val="center"/>
              <w:rPr/>
            </w:pPr>
            <w:r>
              <w:rPr>
                <w:rFonts w:ascii="Arial" w:hAnsi="Arial"/>
                <w:b/>
                <w:color w:val="ffffff"/>
                <w:sz w:val="15"/>
              </w:rPr>
              <w:t xml:space="preserve">Notes / policy number</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CEO / owner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Incident coordinator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IT lead</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Managed service provider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Legal / privacy adviser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Cyber insurer hotline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Forensic provider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Communications adviser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Bank / payment processor</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088" w:type="dxa"/>
            <w:vAlign w:val="center"/>
          </w:tcPr>
          <w:p>
            <w:pPr>
              <w:pBdr/>
              <w:spacing w:after="30"/>
              <w:ind/>
              <w:rPr/>
            </w:pPr>
            <w:r>
              <w:rPr>
                <w:rFonts w:ascii="Arial" w:hAnsi="Arial"/>
                <w:color w:val="1f2933"/>
                <w:sz w:val="15"/>
              </w:rPr>
              <w:t xml:space="preserve">Law enforcement / regulator as applicable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72"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656"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232" w:type="dxa"/>
            <w:vAlign w:val="center"/>
          </w:tcPr>
          <w:p>
            <w:pPr>
              <w:pBdr/>
              <w:spacing w:after="30"/>
              <w:ind/>
              <w:rPr/>
            </w:pPr>
            <w:r/>
            <w:r/>
          </w:p>
        </w:tc>
      </w:tr>
    </w:tbl>
    <w:p>
      <w:pPr>
        <w:pStyle w:val="876"/>
        <w:widowControl w:val="true"/>
        <w:pBdr/>
        <w:spacing/>
        <w:ind/>
        <w:rPr/>
      </w:pPr>
      <w:r>
        <w:t xml:space="preserve">Store one current copy in a location that remains available if normal email and cloud services are unavailable.</w:t>
      </w:r>
      <w:r/>
    </w:p>
    <w:p>
      <w:pPr>
        <w:pStyle w:val="715"/>
        <w:widowControl w:val="true"/>
        <w:pBdr/>
        <w:spacing/>
        <w:ind/>
        <w:rPr/>
      </w:pPr>
      <w:r>
        <w:t xml:space="preserve">Appendix C - Employee Cyber Incident Quick Card</w:t>
      </w:r>
      <w:r/>
    </w:p>
    <w:tbl>
      <w:tblPr>
        <w:jc w:val="center"/>
        <w:tblW w:w="0" w:type="auto"/>
        <w:tblBorders/>
        <w:tblLayout w:type="fixed"/>
        <w:tblLook w:val="04A0" w:firstRow="1" w:lastRow="0" w:firstColumn="1" w:lastColumn="0" w:noHBand="0" w:noVBand="1"/>
      </w:tblPr>
      <w:tblGrid>
        <w:gridCol w:w="9936"/>
      </w:tblGrid>
      <w:tr>
        <w:trPr>
          <w:cantSplit/>
        </w:trPr>
        <w:tc>
          <w:tcPr>
            <w:shd w:val="clear" w:color="auto" w:fill="d9eaf7"/>
            <w:tcBorders>
              <w:top w:val="single" w:color="2f75b5" w:sz="14" w:space="0"/>
              <w:left w:val="single" w:color="2f75b5" w:sz="14" w:space="0"/>
              <w:bottom w:val="single" w:color="2f75b5" w:sz="6" w:space="0"/>
              <w:right w:val="single" w:color="2f75b5" w:sz="6" w:space="0"/>
            </w:tcBorders>
            <w:tcMar>
              <w:left w:w="160" w:type="dxa"/>
              <w:top w:w="120" w:type="dxa"/>
              <w:right w:w="140" w:type="dxa"/>
              <w:bottom w:w="120" w:type="dxa"/>
            </w:tcMar>
            <w:tcW w:w="9936" w:type="dxa"/>
          </w:tcPr>
          <w:p>
            <w:pPr>
              <w:pBdr/>
              <w:spacing/>
              <w:ind/>
              <w:rPr/>
            </w:pPr>
            <w:r>
              <w:rPr>
                <w:b/>
                <w:color w:val="17365d"/>
                <w:sz w:val="21"/>
              </w:rPr>
              <w:t xml:space="preserve">SEE SOMETHING SUSPICIOUS?</w:t>
            </w:r>
            <w:r/>
          </w:p>
          <w:p>
            <w:pPr>
              <w:pStyle w:val="877"/>
              <w:pBdr/>
              <w:spacing w:after="0"/>
              <w:ind/>
              <w:rPr/>
            </w:pPr>
            <w:r>
              <w:t xml:space="preserve">1) Stop interacting with it. 2) Do not delete evidence or run cleanup tools. 3) If files are actively changing or m</w:t>
            </w:r>
            <w:r>
              <w:t xml:space="preserve">alware is spreading, disconnect the network cable or turn off Wi-Fi—but keep the device powered on. 4) Call the incident contact immediately. 5) Record what happened, the time, and anything you clicked or entered. 6) Do not discuss the incident externally.</w:t>
            </w:r>
            <w:r/>
          </w:p>
        </w:tc>
      </w:tr>
    </w:tbl>
    <w:p>
      <w:pPr>
        <w:widowControl w:val="true"/>
        <w:pBdr/>
        <w:spacing w:after="0"/>
        <w:ind/>
        <w:rPr/>
      </w:pPr>
      <w:r/>
      <w:r/>
    </w:p>
    <w:p>
      <w:pPr>
        <w:pStyle w:val="716"/>
        <w:widowControl w:val="true"/>
        <w:pBdr/>
        <w:spacing/>
        <w:ind/>
        <w:rPr/>
      </w:pPr>
      <w:r>
        <w:t xml:space="preserve">Examples That Must Be Reported</w:t>
      </w:r>
      <w:r/>
    </w:p>
    <w:p>
      <w:pPr>
        <w:pStyle w:val="745"/>
        <w:widowControl w:val="true"/>
        <w:pBdr/>
        <w:spacing w:after="50"/>
        <w:ind/>
        <w:rPr/>
      </w:pPr>
      <w:r>
        <w:t xml:space="preserve">Unexpected MFA prompt or password reset.</w:t>
      </w:r>
      <w:r/>
    </w:p>
    <w:p>
      <w:pPr>
        <w:pStyle w:val="745"/>
        <w:widowControl w:val="true"/>
        <w:pBdr/>
        <w:spacing w:after="50"/>
        <w:ind/>
        <w:rPr/>
      </w:pPr>
      <w:r>
        <w:t xml:space="preserve">Clicked suspicious link or entered credentials.</w:t>
      </w:r>
      <w:r/>
    </w:p>
    <w:p>
      <w:pPr>
        <w:pStyle w:val="745"/>
        <w:widowControl w:val="true"/>
        <w:pBdr/>
        <w:spacing w:after="50"/>
        <w:ind/>
        <w:rPr/>
      </w:pPr>
      <w:r>
        <w:t xml:space="preserve">Lost or stolen device.</w:t>
      </w:r>
      <w:r/>
    </w:p>
    <w:p>
      <w:pPr>
        <w:pStyle w:val="745"/>
        <w:widowControl w:val="true"/>
        <w:pBdr/>
        <w:spacing w:after="50"/>
        <w:ind/>
        <w:rPr/>
      </w:pPr>
      <w:r>
        <w:t xml:space="preserve">Malware warning or ransom note.</w:t>
      </w:r>
      <w:r/>
    </w:p>
    <w:p>
      <w:pPr>
        <w:pStyle w:val="745"/>
        <w:widowControl w:val="true"/>
        <w:pBdr/>
        <w:spacing w:after="50"/>
        <w:ind/>
        <w:rPr/>
      </w:pPr>
      <w:r>
        <w:t xml:space="preserve">Email sent to the wrong recipient.</w:t>
      </w:r>
      <w:r/>
    </w:p>
    <w:p>
      <w:pPr>
        <w:pStyle w:val="745"/>
        <w:widowControl w:val="true"/>
        <w:pBdr/>
        <w:spacing w:after="50"/>
        <w:ind/>
        <w:rPr/>
      </w:pPr>
      <w:r>
        <w:t xml:space="preserve">Publicly shared confidential file.</w:t>
      </w:r>
      <w:r/>
    </w:p>
    <w:p>
      <w:pPr>
        <w:pStyle w:val="745"/>
        <w:widowControl w:val="true"/>
        <w:pBdr/>
        <w:spacing w:after="50"/>
        <w:ind/>
        <w:rPr/>
      </w:pPr>
      <w:r>
        <w:t xml:space="preserve">Unrecognized payment or bank-detail change.</w:t>
      </w:r>
      <w:r/>
    </w:p>
    <w:p>
      <w:pPr>
        <w:pStyle w:val="745"/>
        <w:widowControl w:val="true"/>
        <w:pBdr/>
        <w:spacing w:after="50"/>
        <w:ind/>
        <w:rPr/>
      </w:pPr>
      <w:r>
        <w:t xml:space="preserve">Unusual account, administrator or forwarding-rule activity.</w:t>
      </w:r>
      <w:r/>
    </w:p>
    <w:p>
      <w:pPr>
        <w:pStyle w:val="715"/>
        <w:widowControl w:val="true"/>
        <w:pBdr/>
        <w:spacing/>
        <w:ind/>
        <w:rPr/>
      </w:pPr>
      <w:r>
        <w:t xml:space="preserve">Appendix D - Chain of Custody Log</w:t>
      </w:r>
      <w:r/>
    </w:p>
    <w:tbl>
      <w:tblPr>
        <w:jc w:val="center"/>
        <w:tblW w:w="0" w:type="auto"/>
        <w:tblBorders/>
        <w:tblLayout w:type="fixed"/>
        <w:tblLook w:val="04A0" w:firstRow="1" w:lastRow="0" w:firstColumn="1" w:lastColumn="0" w:noHBand="0" w:noVBand="1"/>
      </w:tblPr>
      <w:tblGrid>
        <w:gridCol w:w="1656"/>
        <w:gridCol w:w="1656"/>
        <w:gridCol w:w="1656"/>
        <w:gridCol w:w="1656"/>
        <w:gridCol w:w="1656"/>
        <w:gridCol w:w="1656"/>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936" w:type="dxa"/>
            <w:vAlign w:val="center"/>
          </w:tcPr>
          <w:p>
            <w:pPr>
              <w:pBdr/>
              <w:spacing/>
              <w:ind/>
              <w:jc w:val="center"/>
              <w:rPr/>
            </w:pPr>
            <w:r>
              <w:rPr>
                <w:rFonts w:ascii="Arial" w:hAnsi="Arial"/>
                <w:b/>
                <w:color w:val="ffffff"/>
                <w:sz w:val="14"/>
              </w:rPr>
              <w:t xml:space="preserve">Item ID</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20" w:type="dxa"/>
            <w:vAlign w:val="center"/>
          </w:tcPr>
          <w:p>
            <w:pPr>
              <w:pBdr/>
              <w:spacing/>
              <w:ind/>
              <w:jc w:val="center"/>
              <w:rPr/>
            </w:pPr>
            <w:r>
              <w:rPr>
                <w:rFonts w:ascii="Arial" w:hAnsi="Arial"/>
                <w:b/>
                <w:color w:val="ffffff"/>
                <w:sz w:val="14"/>
              </w:rPr>
              <w:t xml:space="preserve">Description / source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ind/>
              <w:jc w:val="center"/>
              <w:rPr/>
            </w:pPr>
            <w:r>
              <w:rPr>
                <w:rFonts w:ascii="Arial" w:hAnsi="Arial"/>
                <w:b/>
                <w:color w:val="ffffff"/>
                <w:sz w:val="14"/>
              </w:rPr>
              <w:t xml:space="preserve">Collected by</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ind/>
              <w:jc w:val="center"/>
              <w:rPr/>
            </w:pPr>
            <w:r>
              <w:rPr>
                <w:rFonts w:ascii="Arial" w:hAnsi="Arial"/>
                <w:b/>
                <w:color w:val="ffffff"/>
                <w:sz w:val="14"/>
              </w:rPr>
              <w:t xml:space="preserve">Date/time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ind/>
              <w:jc w:val="center"/>
              <w:rPr/>
            </w:pPr>
            <w:r>
              <w:rPr>
                <w:rFonts w:ascii="Arial" w:hAnsi="Arial"/>
                <w:b/>
                <w:color w:val="ffffff"/>
                <w:sz w:val="14"/>
              </w:rPr>
              <w:t xml:space="preserve">Storage / hash</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ind/>
              <w:jc w:val="center"/>
              <w:rPr/>
            </w:pPr>
            <w:r>
              <w:rPr>
                <w:rFonts w:ascii="Arial" w:hAnsi="Arial"/>
                <w:b/>
                <w:color w:val="ffffff"/>
                <w:sz w:val="14"/>
              </w:rPr>
              <w:t xml:space="preserve">Transfer history</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936" w:type="dxa"/>
            <w:vAlign w:val="center"/>
          </w:tcPr>
          <w:p>
            <w:pPr>
              <w:pBdr/>
              <w:spacing w:after="30"/>
              <w:ind/>
              <w:rPr/>
            </w:pPr>
            <w:r>
              <w:rPr>
                <w:rFonts w:ascii="Arial" w:hAnsi="Arial"/>
                <w:color w:val="1f2933"/>
                <w:sz w:val="14"/>
              </w:rPr>
              <w:t xml:space="preserve">E-01</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2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936" w:type="dxa"/>
            <w:vAlign w:val="center"/>
          </w:tcPr>
          <w:p>
            <w:pPr>
              <w:pBdr/>
              <w:spacing w:after="30"/>
              <w:ind/>
              <w:rPr/>
            </w:pPr>
            <w:r>
              <w:rPr>
                <w:rFonts w:ascii="Arial" w:hAnsi="Arial"/>
                <w:color w:val="1f2933"/>
                <w:sz w:val="14"/>
              </w:rPr>
              <w:t xml:space="preserve">E-02</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2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936" w:type="dxa"/>
            <w:vAlign w:val="center"/>
          </w:tcPr>
          <w:p>
            <w:pPr>
              <w:pBdr/>
              <w:spacing w:after="30"/>
              <w:ind/>
              <w:rPr/>
            </w:pPr>
            <w:r>
              <w:rPr>
                <w:rFonts w:ascii="Arial" w:hAnsi="Arial"/>
                <w:color w:val="1f2933"/>
                <w:sz w:val="14"/>
              </w:rPr>
              <w:t xml:space="preserve">E-03</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2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936" w:type="dxa"/>
            <w:vAlign w:val="center"/>
          </w:tcPr>
          <w:p>
            <w:pPr>
              <w:pBdr/>
              <w:spacing w:after="30"/>
              <w:ind/>
              <w:rPr/>
            </w:pPr>
            <w:r>
              <w:rPr>
                <w:rFonts w:ascii="Arial" w:hAnsi="Arial"/>
                <w:color w:val="1f2933"/>
                <w:sz w:val="14"/>
              </w:rPr>
              <w:t xml:space="preserve">E-04</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2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936" w:type="dxa"/>
            <w:vAlign w:val="center"/>
          </w:tcPr>
          <w:p>
            <w:pPr>
              <w:pBdr/>
              <w:spacing w:after="30"/>
              <w:ind/>
              <w:rPr/>
            </w:pPr>
            <w:r>
              <w:rPr>
                <w:rFonts w:ascii="Arial" w:hAnsi="Arial"/>
                <w:color w:val="1f2933"/>
                <w:sz w:val="14"/>
              </w:rPr>
              <w:t xml:space="preserve">E-05</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2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936" w:type="dxa"/>
            <w:vAlign w:val="center"/>
          </w:tcPr>
          <w:p>
            <w:pPr>
              <w:pBdr/>
              <w:spacing w:after="30"/>
              <w:ind/>
              <w:rPr/>
            </w:pPr>
            <w:r>
              <w:rPr>
                <w:rFonts w:ascii="Arial" w:hAnsi="Arial"/>
                <w:color w:val="1f2933"/>
                <w:sz w:val="14"/>
              </w:rPr>
              <w:t xml:space="preserve">E-06</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2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936" w:type="dxa"/>
            <w:vAlign w:val="center"/>
          </w:tcPr>
          <w:p>
            <w:pPr>
              <w:pBdr/>
              <w:spacing w:after="30"/>
              <w:ind/>
              <w:rPr/>
            </w:pPr>
            <w:r>
              <w:rPr>
                <w:rFonts w:ascii="Arial" w:hAnsi="Arial"/>
                <w:color w:val="1f2933"/>
                <w:sz w:val="14"/>
              </w:rPr>
              <w:t xml:space="preserve">E-07</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2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936" w:type="dxa"/>
            <w:vAlign w:val="center"/>
          </w:tcPr>
          <w:p>
            <w:pPr>
              <w:pBdr/>
              <w:spacing w:after="30"/>
              <w:ind/>
              <w:rPr/>
            </w:pPr>
            <w:r>
              <w:rPr>
                <w:rFonts w:ascii="Arial" w:hAnsi="Arial"/>
                <w:color w:val="1f2933"/>
                <w:sz w:val="14"/>
              </w:rPr>
              <w:t xml:space="preserve">E-08</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2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800" w:type="dxa"/>
            <w:vAlign w:val="center"/>
          </w:tcPr>
          <w:p>
            <w:pPr>
              <w:pBdr/>
              <w:spacing w:after="30"/>
              <w:ind/>
              <w:rPr/>
            </w:pPr>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1584" w:type="dxa"/>
            <w:vAlign w:val="center"/>
          </w:tcPr>
          <w:p>
            <w:pPr>
              <w:pBdr/>
              <w:spacing w:after="30"/>
              <w:ind/>
              <w:rPr/>
            </w:pPr>
            <w:r/>
            <w:r/>
          </w:p>
        </w:tc>
      </w:tr>
    </w:tbl>
    <w:p>
      <w:pPr>
        <w:pStyle w:val="715"/>
        <w:widowControl w:val="true"/>
        <w:pBdr/>
        <w:spacing/>
        <w:ind/>
        <w:rPr/>
      </w:pPr>
      <w:r>
        <w:t xml:space="preserve">Appendix E - Post-Incident Review Template</w:t>
      </w:r>
      <w:r/>
    </w:p>
    <w:p>
      <w:pPr>
        <w:pStyle w:val="716"/>
        <w:widowControl w:val="true"/>
        <w:pBdr/>
        <w:spacing/>
        <w:ind/>
        <w:rPr/>
      </w:pPr>
      <w:r>
        <w:t xml:space="preserve">Executive summary</w:t>
      </w:r>
      <w:r/>
    </w:p>
    <w:p>
      <w:pPr>
        <w:widowControl w:val="true"/>
        <w:pBdr/>
        <w:spacing/>
        <w:ind/>
        <w:rPr/>
      </w:pPr>
      <w:r>
        <w:t xml:space="preserve">What happened, when, impact and current status.</w:t>
      </w:r>
      <w:r/>
    </w:p>
    <w:p>
      <w:pPr>
        <w:pStyle w:val="876"/>
        <w:widowControl w:val="true"/>
        <w:pBdr/>
        <w:spacing/>
        <w:ind/>
        <w:rPr/>
      </w:pPr>
      <w:r>
        <w:t xml:space="preserve">________________________________________________________________________________</w:t>
      </w:r>
      <w:r/>
    </w:p>
    <w:p>
      <w:pPr>
        <w:pStyle w:val="876"/>
        <w:widowControl w:val="true"/>
        <w:pBdr/>
        <w:spacing/>
        <w:ind/>
        <w:rPr/>
      </w:pPr>
      <w:r>
        <w:t xml:space="preserve">________________________________________________________________________________</w:t>
      </w:r>
      <w:r/>
    </w:p>
    <w:p>
      <w:pPr>
        <w:pStyle w:val="716"/>
        <w:widowControl w:val="true"/>
        <w:pBdr/>
        <w:spacing/>
        <w:ind/>
        <w:rPr/>
      </w:pPr>
      <w:r>
        <w:t xml:space="preserve">Timeline</w:t>
      </w:r>
      <w:r/>
    </w:p>
    <w:p>
      <w:pPr>
        <w:widowControl w:val="true"/>
        <w:pBdr/>
        <w:spacing/>
        <w:ind/>
        <w:rPr/>
      </w:pPr>
      <w:r>
        <w:t xml:space="preserve">Detection, reporting, decisions, containment, eradication, recovery and notifications.</w:t>
      </w:r>
      <w:r/>
    </w:p>
    <w:p>
      <w:pPr>
        <w:pStyle w:val="876"/>
        <w:widowControl w:val="true"/>
        <w:pBdr/>
        <w:spacing/>
        <w:ind/>
        <w:rPr/>
      </w:pPr>
      <w:r>
        <w:t xml:space="preserve">________________________________________________________________________________</w:t>
      </w:r>
      <w:r/>
    </w:p>
    <w:p>
      <w:pPr>
        <w:pStyle w:val="876"/>
        <w:widowControl w:val="true"/>
        <w:pBdr/>
        <w:spacing/>
        <w:ind/>
        <w:rPr/>
      </w:pPr>
      <w:r>
        <w:t xml:space="preserve">________________________________________________________________________________</w:t>
      </w:r>
      <w:r/>
    </w:p>
    <w:p>
      <w:pPr>
        <w:pStyle w:val="716"/>
        <w:widowControl w:val="true"/>
        <w:pBdr/>
        <w:spacing/>
        <w:ind/>
        <w:rPr/>
      </w:pPr>
      <w:r>
        <w:t xml:space="preserve">Root cause</w:t>
      </w:r>
      <w:r/>
    </w:p>
    <w:p>
      <w:pPr>
        <w:widowControl w:val="true"/>
        <w:pBdr/>
        <w:spacing/>
        <w:ind/>
        <w:rPr/>
      </w:pPr>
      <w:r>
        <w:t xml:space="preserve">Technical, process, people and supplier factors.</w:t>
      </w:r>
      <w:r/>
    </w:p>
    <w:p>
      <w:pPr>
        <w:pStyle w:val="876"/>
        <w:widowControl w:val="true"/>
        <w:pBdr/>
        <w:spacing/>
        <w:ind/>
        <w:rPr/>
      </w:pPr>
      <w:r>
        <w:t xml:space="preserve">________________________________________________________________________________</w:t>
      </w:r>
      <w:r/>
    </w:p>
    <w:p>
      <w:pPr>
        <w:pStyle w:val="876"/>
        <w:widowControl w:val="true"/>
        <w:pBdr/>
        <w:spacing/>
        <w:ind/>
        <w:rPr/>
      </w:pPr>
      <w:r>
        <w:t xml:space="preserve">________________________________________________________________________________</w:t>
      </w:r>
      <w:r/>
    </w:p>
    <w:p>
      <w:pPr>
        <w:pStyle w:val="716"/>
        <w:widowControl w:val="true"/>
        <w:pBdr/>
        <w:spacing/>
        <w:ind/>
        <w:rPr/>
      </w:pPr>
      <w:r>
        <w:t xml:space="preserve">What worked well</w:t>
      </w:r>
      <w:r/>
    </w:p>
    <w:p>
      <w:pPr>
        <w:widowControl w:val="true"/>
        <w:pBdr/>
        <w:spacing/>
        <w:ind/>
        <w:rPr/>
      </w:pPr>
      <w:r>
        <w:t xml:space="preserve">Controls, communications, decisions and resources that reduced harm.</w:t>
      </w:r>
      <w:r/>
    </w:p>
    <w:p>
      <w:pPr>
        <w:pStyle w:val="876"/>
        <w:widowControl w:val="true"/>
        <w:pBdr/>
        <w:spacing/>
        <w:ind/>
        <w:rPr/>
      </w:pPr>
      <w:r>
        <w:t xml:space="preserve">________________________________________________________________________________</w:t>
      </w:r>
      <w:r/>
    </w:p>
    <w:p>
      <w:pPr>
        <w:pStyle w:val="876"/>
        <w:widowControl w:val="true"/>
        <w:pBdr/>
        <w:spacing/>
        <w:ind/>
        <w:rPr/>
      </w:pPr>
      <w:r>
        <w:t xml:space="preserve">________________________________________________________________________________</w:t>
      </w:r>
      <w:r/>
    </w:p>
    <w:p>
      <w:pPr>
        <w:pStyle w:val="716"/>
        <w:widowControl w:val="true"/>
        <w:pBdr/>
        <w:spacing/>
        <w:ind/>
        <w:rPr/>
      </w:pPr>
      <w:r>
        <w:t xml:space="preserve">What needs improvement</w:t>
      </w:r>
      <w:r/>
    </w:p>
    <w:p>
      <w:pPr>
        <w:widowControl w:val="true"/>
        <w:pBdr/>
        <w:spacing/>
        <w:ind/>
        <w:rPr/>
      </w:pPr>
      <w:r>
        <w:t xml:space="preserve">Gaps, delays, unclear ownership, missing access, tools or information.</w:t>
      </w:r>
      <w:r/>
    </w:p>
    <w:p>
      <w:pPr>
        <w:pStyle w:val="876"/>
        <w:widowControl w:val="true"/>
        <w:pBdr/>
        <w:spacing/>
        <w:ind/>
        <w:rPr/>
      </w:pPr>
      <w:r>
        <w:t xml:space="preserve">________________________________________________________________________________</w:t>
      </w:r>
      <w:r/>
    </w:p>
    <w:p>
      <w:pPr>
        <w:pStyle w:val="876"/>
        <w:widowControl w:val="true"/>
        <w:pBdr/>
        <w:spacing/>
        <w:ind/>
        <w:rPr/>
      </w:pPr>
      <w:r>
        <w:t xml:space="preserve">________________________________________________________________________________</w:t>
      </w:r>
      <w:r/>
    </w:p>
    <w:p>
      <w:pPr>
        <w:pStyle w:val="716"/>
        <w:widowControl w:val="true"/>
        <w:pBdr/>
        <w:spacing/>
        <w:ind/>
        <w:rPr/>
      </w:pPr>
      <w:r>
        <w:t xml:space="preserve">Corrective actions</w:t>
      </w:r>
      <w:r/>
    </w:p>
    <w:p>
      <w:pPr>
        <w:widowControl w:val="true"/>
        <w:pBdr/>
        <w:spacing/>
        <w:ind/>
        <w:rPr/>
      </w:pPr>
      <w:r>
        <w:t xml:space="preserve">Action, risk addressed, owner, due date, status and validation method.</w:t>
      </w:r>
      <w:r/>
    </w:p>
    <w:p>
      <w:pPr>
        <w:pStyle w:val="876"/>
        <w:widowControl w:val="true"/>
        <w:pBdr/>
        <w:spacing/>
        <w:ind/>
        <w:rPr/>
      </w:pPr>
      <w:r>
        <w:t xml:space="preserve">________________________________________________________________________________</w:t>
      </w:r>
      <w:r/>
    </w:p>
    <w:p>
      <w:pPr>
        <w:pStyle w:val="876"/>
        <w:widowControl w:val="true"/>
        <w:pBdr/>
        <w:spacing/>
        <w:ind/>
        <w:rPr/>
      </w:pPr>
      <w:r>
        <w:t xml:space="preserve">________________________________________________________________________________</w:t>
      </w:r>
      <w:r/>
    </w:p>
    <w:p>
      <w:pPr>
        <w:pStyle w:val="716"/>
        <w:widowControl w:val="true"/>
        <w:pBdr/>
        <w:spacing/>
        <w:ind/>
        <w:rPr/>
      </w:pPr>
      <w:r>
        <w:t xml:space="preserve">Policy and training updates</w:t>
      </w:r>
      <w:r/>
    </w:p>
    <w:p>
      <w:pPr>
        <w:widowControl w:val="true"/>
        <w:pBdr/>
        <w:spacing/>
        <w:ind/>
        <w:rPr/>
      </w:pPr>
      <w:r>
        <w:t xml:space="preserve">Documents, exercises or communications that must change.</w:t>
      </w:r>
      <w:r/>
    </w:p>
    <w:p>
      <w:pPr>
        <w:pStyle w:val="876"/>
        <w:widowControl w:val="true"/>
        <w:pBdr/>
        <w:spacing/>
        <w:ind/>
        <w:rPr/>
      </w:pPr>
      <w:r>
        <w:t xml:space="preserve">________________________________________________________________________________</w:t>
      </w:r>
      <w:r/>
    </w:p>
    <w:p>
      <w:pPr>
        <w:pStyle w:val="876"/>
        <w:widowControl w:val="true"/>
        <w:pBdr/>
        <w:spacing/>
        <w:ind/>
        <w:rPr/>
      </w:pPr>
      <w:r>
        <w:t xml:space="preserve">________________________________________________________________________________</w:t>
      </w:r>
      <w:r/>
    </w:p>
    <w:p>
      <w:pPr>
        <w:pStyle w:val="716"/>
        <w:widowControl w:val="true"/>
        <w:pBdr/>
        <w:spacing/>
        <w:ind/>
        <w:rPr/>
      </w:pPr>
      <w:r>
        <w:t xml:space="preserve">Closure approval</w:t>
      </w:r>
      <w:r/>
    </w:p>
    <w:p>
      <w:pPr>
        <w:widowControl w:val="true"/>
        <w:pBdr/>
        <w:spacing/>
        <w:ind/>
        <w:rPr/>
      </w:pPr>
      <w:r>
        <w:t xml:space="preserve">Incident coordinator, business owner and legal/privacy reviewer as appropriate.</w:t>
      </w:r>
      <w:r/>
    </w:p>
    <w:p>
      <w:pPr>
        <w:pStyle w:val="876"/>
        <w:widowControl w:val="true"/>
        <w:pBdr/>
        <w:spacing/>
        <w:ind/>
        <w:rPr/>
      </w:pPr>
      <w:r>
        <w:t xml:space="preserve">________________________________________________________________________________</w:t>
      </w:r>
      <w:r/>
    </w:p>
    <w:p>
      <w:pPr>
        <w:pStyle w:val="876"/>
        <w:widowControl w:val="true"/>
        <w:pBdr/>
        <w:spacing/>
        <w:ind/>
        <w:rPr/>
      </w:pPr>
      <w:r>
        <w:t xml:space="preserve">________________________________________________________________________________</w:t>
      </w:r>
      <w:r/>
    </w:p>
    <w:p>
      <w:pPr>
        <w:pStyle w:val="715"/>
        <w:widowControl w:val="true"/>
        <w:pBdr/>
        <w:spacing/>
        <w:ind/>
        <w:rPr/>
      </w:pPr>
      <w:r>
        <w:t xml:space="preserve">Appendix F - Policy Acknowledgement</w:t>
      </w:r>
      <w:r/>
    </w:p>
    <w:p>
      <w:pPr>
        <w:widowControl w:val="true"/>
        <w:pBdr/>
        <w:spacing/>
        <w:ind/>
        <w:rPr/>
      </w:pPr>
      <w:r>
        <w:t xml:space="preserve">I acknowledge that I have received, read and understood the BrightPath Services Cybersecurity Policies and Incident Response requirements. I agree to follow t</w:t>
      </w:r>
      <w:r>
        <w:t xml:space="preserve">he policies, protect company credentials and information, complete required training, and promptly report suspected security incidents or accidental disclosures. I understand that questions should be directed to my manager or the cybersecurity coordinator.</w:t>
      </w:r>
      <w:r/>
    </w:p>
    <w:tbl>
      <w:tblPr>
        <w:jc w:val="center"/>
        <w:tblW w:w="0" w:type="auto"/>
        <w:tblBorders/>
        <w:tblLayout w:type="fixed"/>
        <w:tblLook w:val="04A0" w:firstRow="1" w:lastRow="0" w:firstColumn="1" w:lastColumn="0" w:noHBand="0" w:noVBand="1"/>
      </w:tblPr>
      <w:tblGrid>
        <w:gridCol w:w="4968"/>
        <w:gridCol w:w="4968"/>
      </w:tblGrid>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8"/>
              </w:rPr>
              <w:t xml:space="preserve">Employee / contractor name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8"/>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8"/>
              </w:rPr>
              <w:t xml:space="preserve">Role / department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8"/>
              </w:r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8"/>
              </w:rPr>
              <w:t xml:space="preserve">Signature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8"/>
              </w:rPr>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8"/>
              </w:rPr>
              <w:t xml:space="preserve">Date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8"/>
              </w:rPr>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3024" w:type="dxa"/>
            <w:vAlign w:val="center"/>
          </w:tcPr>
          <w:p>
            <w:pPr>
              <w:pBdr/>
              <w:spacing w:after="30"/>
              <w:ind/>
              <w:rPr/>
            </w:pPr>
            <w:r>
              <w:rPr>
                <w:rFonts w:ascii="Arial" w:hAnsi="Arial"/>
                <w:b/>
                <w:color w:val="1f2933"/>
                <w:sz w:val="18"/>
              </w:rPr>
              <w:t xml:space="preserve">Manager / witness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6624" w:type="dxa"/>
            <w:vAlign w:val="center"/>
          </w:tcPr>
          <w:p>
            <w:pPr>
              <w:pBdr/>
              <w:spacing w:after="30"/>
              <w:ind/>
              <w:rPr/>
            </w:pPr>
            <w:r>
              <w:rPr>
                <w:rFonts w:ascii="Arial" w:hAnsi="Arial"/>
                <w:color w:val="1f2933"/>
                <w:sz w:val="18"/>
              </w:rPr>
            </w:r>
            <w:r/>
          </w:p>
        </w:tc>
      </w:tr>
    </w:tbl>
    <w:p>
      <w:pPr>
        <w:pStyle w:val="715"/>
        <w:widowControl w:val="true"/>
        <w:pBdr/>
        <w:spacing/>
        <w:ind/>
        <w:rPr/>
      </w:pPr>
      <w:r>
        <w:t xml:space="preserve">Appendix G - Glossary</w:t>
      </w:r>
      <w:r/>
    </w:p>
    <w:tbl>
      <w:tblPr>
        <w:jc w:val="center"/>
        <w:tblW w:w="0" w:type="auto"/>
        <w:tblBorders/>
        <w:tblLayout w:type="fixed"/>
        <w:tblLook w:val="04A0" w:firstRow="1" w:lastRow="0" w:firstColumn="1" w:lastColumn="0" w:noHBand="0" w:noVBand="1"/>
      </w:tblPr>
      <w:tblGrid>
        <w:gridCol w:w="4968"/>
        <w:gridCol w:w="4968"/>
      </w:tblGrid>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Asset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A device, system, service, account, information resource or business capability with value.</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Business email compromise (BEC)</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Fraud using a compromised or impersonated email account to redirect payments or obtain information.</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Containment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Actions that limit spread, access or damage during an incident.</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Confidentiality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Ensuring information is accessible only to authorized people and systems.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Eradication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Removal of the attacker, malware, persistence and root cause.</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Event</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An observable occurrence in a system or network; not every event is an incident.</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Incident</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An occurrence that jeopardizes or may jeopardize information, systems or policy and requires coordinated response.</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Integrity</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Assurance that information and systems are accurate and not improperly altered.</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Least privilege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Providing only the access required for a role or task.</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MFA</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Authentication using two or more different factors, such as a password and security key.</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Recovery</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Restoration and validation of trusted business operations after an incident.</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Ransomware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Malware that disrupts or encrypts data, often combined with theft and extortion.</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RTO</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Recovery Time Objective: the target time to restore a service.</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RPO</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Recovery Point Objective: the maximum acceptable amount of data loss measured in time.</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376" w:type="dxa"/>
            <w:vAlign w:val="center"/>
          </w:tcPr>
          <w:p>
            <w:pPr>
              <w:pBdr/>
              <w:spacing w:after="30"/>
              <w:ind/>
              <w:rPr/>
            </w:pPr>
            <w:r>
              <w:rPr>
                <w:rFonts w:ascii="Arial" w:hAnsi="Arial"/>
                <w:b/>
                <w:color w:val="1f2933"/>
                <w:sz w:val="16"/>
              </w:rPr>
              <w:t xml:space="preserve">Threat actor</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7272" w:type="dxa"/>
            <w:vAlign w:val="center"/>
          </w:tcPr>
          <w:p>
            <w:pPr>
              <w:pBdr/>
              <w:spacing w:after="30"/>
              <w:ind/>
              <w:rPr/>
            </w:pPr>
            <w:r>
              <w:rPr>
                <w:rFonts w:ascii="Arial" w:hAnsi="Arial"/>
                <w:color w:val="1f2933"/>
                <w:sz w:val="16"/>
              </w:rPr>
              <w:t xml:space="preserve">A person or group that intentionally attempts to compromise systems or information.</w:t>
            </w:r>
            <w:r/>
          </w:p>
        </w:tc>
      </w:tr>
    </w:tbl>
    <w:p>
      <w:pPr>
        <w:pStyle w:val="715"/>
        <w:widowControl w:val="true"/>
        <w:pBdr/>
        <w:spacing/>
        <w:ind/>
        <w:rPr/>
      </w:pPr>
      <w:r>
        <w:t xml:space="preserve">References</w:t>
      </w:r>
      <w:r/>
    </w:p>
    <w:p>
      <w:pPr>
        <w:widowControl w:val="true"/>
        <w:pBdr/>
        <w:spacing w:after="120"/>
        <w:ind w:hanging="288" w:left="288"/>
        <w:rPr/>
      </w:pPr>
      <w:r>
        <w:t xml:space="preserve">[1] National Institute of Standards and Technology. The NIST Cybersecurity Framework (CSF) 2.0. CSWP 29, February 2024. </w:t>
      </w:r>
      <w:hyperlink r:id="rId14" w:tooltip="https://doi.org/10.6028/NIST.CSWP.29" w:history="1">
        <w:r>
          <w:rPr>
            <w:color w:val="2f75b5"/>
            <w:u w:val="single"/>
          </w:rPr>
          <w:t xml:space="preserve">Official source</w:t>
        </w:r>
      </w:hyperlink>
      <w:r/>
      <w:r/>
    </w:p>
    <w:p>
      <w:pPr>
        <w:widowControl w:val="true"/>
        <w:pBdr/>
        <w:spacing w:after="120"/>
        <w:ind w:hanging="288" w:left="288"/>
        <w:rPr/>
      </w:pPr>
      <w:r>
        <w:t xml:space="preserve">[2] National Institute of Standards and Technology. NIST Cybersecurity Framework 2.0: Small Business Quick-Start Guide. NIST SP 1300, February 2024. </w:t>
      </w:r>
      <w:hyperlink r:id="rId15" w:tooltip="https://doi.org/10.6028/NIST.SP.1300" w:history="1">
        <w:r>
          <w:rPr>
            <w:color w:val="2f75b5"/>
            <w:u w:val="single"/>
          </w:rPr>
          <w:t xml:space="preserve">Official source</w:t>
        </w:r>
      </w:hyperlink>
      <w:r/>
      <w:r/>
    </w:p>
    <w:p>
      <w:pPr>
        <w:widowControl w:val="true"/>
        <w:pBdr/>
        <w:spacing w:after="120"/>
        <w:ind w:hanging="288" w:left="288"/>
        <w:rPr/>
      </w:pPr>
      <w:r>
        <w:t xml:space="preserve">[3] National Institute of Standards and Technology. Incident Response Recommendations and Considerations for Cybersecurity Risk Management: A CSF 2.0 Community Profile. NIST SP 800-61 Rev. 3, April 2025. </w:t>
      </w:r>
      <w:hyperlink r:id="rId16" w:tooltip="https://doi.org/10.6028/NIST.SP.800-61r3" w:history="1">
        <w:r>
          <w:rPr>
            <w:color w:val="2f75b5"/>
            <w:u w:val="single"/>
          </w:rPr>
          <w:t xml:space="preserve">Official source</w:t>
        </w:r>
      </w:hyperlink>
      <w:r/>
      <w:r/>
    </w:p>
    <w:p>
      <w:pPr>
        <w:widowControl w:val="true"/>
        <w:pBdr/>
        <w:spacing w:after="120"/>
        <w:ind w:hanging="288" w:left="288"/>
        <w:rPr/>
      </w:pPr>
      <w:r>
        <w:t xml:space="preserve">[4] Cybersecurity and Infrastructure Security Agency. Cyber Guidance for Small Businesses. </w:t>
      </w:r>
      <w:hyperlink r:id="rId17" w:tooltip="https://www.cisa.gov/cyber-guidance-small-businesses" w:history="1">
        <w:r>
          <w:rPr>
            <w:color w:val="2f75b5"/>
            <w:u w:val="single"/>
          </w:rPr>
          <w:t xml:space="preserve">Official source</w:t>
        </w:r>
      </w:hyperlink>
      <w:r/>
      <w:r/>
    </w:p>
    <w:p>
      <w:pPr>
        <w:widowControl w:val="true"/>
        <w:pBdr/>
        <w:spacing w:after="120"/>
        <w:ind w:hanging="288" w:left="288"/>
        <w:rPr/>
      </w:pPr>
      <w:r>
        <w:t xml:space="preserve">[5] Cybersecurity and Infrastructure Security Agency. Cyber Essentials. </w:t>
      </w:r>
      <w:hyperlink r:id="rId18" w:tooltip="https://www.cisa.gov/resources-tools/resources/cyber-essentials" w:history="1">
        <w:r>
          <w:rPr>
            <w:color w:val="2f75b5"/>
            <w:u w:val="single"/>
          </w:rPr>
          <w:t xml:space="preserve">Official source</w:t>
        </w:r>
      </w:hyperlink>
      <w:r/>
      <w:r/>
    </w:p>
    <w:p>
      <w:pPr>
        <w:widowControl w:val="true"/>
        <w:pBdr/>
        <w:spacing w:after="120"/>
        <w:ind w:hanging="288" w:left="288"/>
        <w:rPr/>
      </w:pPr>
      <w:r>
        <w:t xml:space="preserve">[6] Federal Trade Commission. Data Breach Response: A Guide for Business. </w:t>
      </w:r>
      <w:hyperlink r:id="rId19" w:tooltip="https://www.ftc.gov/business-guidance/resources/data-breach-response-guide-business" w:history="1">
        <w:r>
          <w:rPr>
            <w:color w:val="2f75b5"/>
            <w:u w:val="single"/>
          </w:rPr>
          <w:t xml:space="preserve">Official source</w:t>
        </w:r>
      </w:hyperlink>
      <w:r/>
      <w:r/>
    </w:p>
    <w:p>
      <w:pPr>
        <w:widowControl w:val="true"/>
        <w:pBdr/>
        <w:spacing w:after="120"/>
        <w:ind w:hanging="288" w:left="288"/>
        <w:rPr/>
      </w:pPr>
      <w:r>
        <w:t xml:space="preserve">[7] Federal Trade Commission. Protecting Personal Information: A Guide for Business. </w:t>
      </w:r>
      <w:hyperlink r:id="rId20" w:tooltip="https://www.ftc.gov/business-guidance/resources/protecting-personal-information-guide-business" w:history="1">
        <w:r>
          <w:rPr>
            <w:color w:val="2f75b5"/>
            <w:u w:val="single"/>
          </w:rPr>
          <w:t xml:space="preserve">Official source</w:t>
        </w:r>
      </w:hyperlink>
      <w:r/>
      <w:r/>
    </w:p>
    <w:p>
      <w:pPr>
        <w:pStyle w:val="876"/>
        <w:widowControl w:val="true"/>
        <w:pBdr/>
        <w:spacing/>
        <w:ind/>
        <w:rPr/>
      </w:pPr>
      <w:r>
        <w:t xml:space="preserve">Accessed 14 July 2026. Standards and legal obligations should be checked again before operational adoption.</w:t>
      </w:r>
      <w:r/>
    </w:p>
    <w:p>
      <w:pPr>
        <w:pStyle w:val="716"/>
        <w:widowControl w:val="true"/>
        <w:pBdr/>
        <w:spacing/>
        <w:ind/>
        <w:rPr/>
      </w:pPr>
      <w:r>
        <w:t xml:space="preserve">Source-to-Report Mapping</w:t>
      </w:r>
      <w:r/>
    </w:p>
    <w:tbl>
      <w:tblPr>
        <w:jc w:val="center"/>
        <w:tblW w:w="0" w:type="auto"/>
        <w:tblBorders/>
        <w:tblLayout w:type="fixed"/>
        <w:tblLook w:val="04A0" w:firstRow="1" w:lastRow="0" w:firstColumn="1" w:lastColumn="0" w:noHBand="0" w:noVBand="1"/>
      </w:tblPr>
      <w:tblGrid>
        <w:gridCol w:w="3312"/>
        <w:gridCol w:w="3312"/>
        <w:gridCol w:w="3312"/>
      </w:tblGrid>
      <w:tr>
        <w:trPr>
          <w:cantSplit/>
        </w:trPr>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ind/>
              <w:jc w:val="center"/>
              <w:rPr/>
            </w:pPr>
            <w:r>
              <w:rPr>
                <w:rFonts w:ascii="Arial" w:hAnsi="Arial"/>
                <w:b/>
                <w:color w:val="ffffff"/>
                <w:sz w:val="16"/>
              </w:rPr>
              <w:t xml:space="preserve">Source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ind/>
              <w:jc w:val="center"/>
              <w:rPr/>
            </w:pPr>
            <w:r>
              <w:rPr>
                <w:rFonts w:ascii="Arial" w:hAnsi="Arial"/>
                <w:b/>
                <w:color w:val="ffffff"/>
                <w:sz w:val="16"/>
              </w:rPr>
              <w:t xml:space="preserve">Report use</w:t>
            </w:r>
            <w:r/>
          </w:p>
        </w:tc>
        <w:tc>
          <w:tcPr>
            <w:shd w:val="clear" w:color="auto" w:fill="17365d"/>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464" w:type="dxa"/>
            <w:vAlign w:val="center"/>
          </w:tcPr>
          <w:p>
            <w:pPr>
              <w:pBdr/>
              <w:spacing/>
              <w:ind/>
              <w:jc w:val="center"/>
              <w:rPr/>
            </w:pPr>
            <w:r>
              <w:rPr>
                <w:rFonts w:ascii="Arial" w:hAnsi="Arial"/>
                <w:b/>
                <w:color w:val="ffffff"/>
                <w:sz w:val="16"/>
              </w:rPr>
              <w:t xml:space="preserve">Main contribution</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NIST CSF 2.0</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Overall structure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464" w:type="dxa"/>
            <w:vAlign w:val="center"/>
          </w:tcPr>
          <w:p>
            <w:pPr>
              <w:pBdr/>
              <w:spacing w:after="30"/>
              <w:ind/>
              <w:rPr/>
            </w:pPr>
            <w:r>
              <w:rPr>
                <w:rFonts w:ascii="Arial" w:hAnsi="Arial"/>
                <w:color w:val="1f2933"/>
                <w:sz w:val="16"/>
              </w:rPr>
              <w:t xml:space="preserve">Govern, Identify, Protect, Detect, Respond and Recover functions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NIST SP 1300</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Small-business implementation</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464" w:type="dxa"/>
            <w:vAlign w:val="center"/>
          </w:tcPr>
          <w:p>
            <w:pPr>
              <w:pBdr/>
              <w:spacing w:after="30"/>
              <w:ind/>
              <w:rPr/>
            </w:pPr>
            <w:r>
              <w:rPr>
                <w:rFonts w:ascii="Arial" w:hAnsi="Arial"/>
                <w:color w:val="1f2933"/>
                <w:sz w:val="16"/>
              </w:rPr>
              <w:t xml:space="preserve">Practical starting point and prioritization</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NIST SP 800-61 Rev. 3</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Incident response</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464" w:type="dxa"/>
            <w:vAlign w:val="center"/>
          </w:tcPr>
          <w:p>
            <w:pPr>
              <w:pBdr/>
              <w:spacing w:after="30"/>
              <w:ind/>
              <w:rPr/>
            </w:pPr>
            <w:r>
              <w:rPr>
                <w:rFonts w:ascii="Arial" w:hAnsi="Arial"/>
                <w:color w:val="1f2933"/>
                <w:sz w:val="16"/>
              </w:rPr>
              <w:t xml:space="preserve">Integration of preparation, detection, response, recovery and improvement with risk management</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CISA small-business guidance</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Operational controls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464" w:type="dxa"/>
            <w:vAlign w:val="center"/>
          </w:tcPr>
          <w:p>
            <w:pPr>
              <w:pBdr/>
              <w:spacing w:after="30"/>
              <w:ind/>
              <w:rPr/>
            </w:pPr>
            <w:r>
              <w:rPr>
                <w:rFonts w:ascii="Arial" w:hAnsi="Arial"/>
                <w:color w:val="1f2933"/>
                <w:sz w:val="16"/>
              </w:rPr>
              <w:t xml:space="preserve">Leadership roles, phishing, MFA, updates, backups and response preparation</w:t>
            </w:r>
            <w:r/>
          </w:p>
        </w:tc>
      </w:tr>
      <w:tr>
        <w:trPr>
          <w:cantSplit/>
        </w:trPr>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CISA Cyber Essentials</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Leadership action</w:t>
            </w:r>
            <w:r/>
          </w:p>
        </w:tc>
        <w:tc>
          <w:tcPr>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464" w:type="dxa"/>
            <w:vAlign w:val="center"/>
          </w:tcPr>
          <w:p>
            <w:pPr>
              <w:pBdr/>
              <w:spacing w:after="30"/>
              <w:ind/>
              <w:rPr/>
            </w:pPr>
            <w:r>
              <w:rPr>
                <w:rFonts w:ascii="Arial" w:hAnsi="Arial"/>
                <w:color w:val="1f2933"/>
                <w:sz w:val="16"/>
              </w:rPr>
              <w:t xml:space="preserve">Simple, actionable security culture and resilience steps</w:t>
            </w:r>
            <w:r/>
          </w:p>
        </w:tc>
      </w:tr>
      <w:tr>
        <w:trPr>
          <w:cantSplit/>
        </w:trPr>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FTC breach response and data protection guides</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2592" w:type="dxa"/>
            <w:vAlign w:val="center"/>
          </w:tcPr>
          <w:p>
            <w:pPr>
              <w:pBdr/>
              <w:spacing w:after="30"/>
              <w:ind/>
              <w:rPr/>
            </w:pPr>
            <w:r>
              <w:rPr>
                <w:rFonts w:ascii="Arial" w:hAnsi="Arial"/>
                <w:color w:val="1f2933"/>
                <w:sz w:val="16"/>
              </w:rPr>
              <w:t xml:space="preserve">Breach handling</w:t>
            </w:r>
            <w:r/>
          </w:p>
        </w:tc>
        <w:tc>
          <w:tcPr>
            <w:shd w:val="clear" w:color="auto" w:fill="f4f7fa"/>
            <w:tcBorders>
              <w:top w:val="single" w:color="b7c9d6" w:sz="4" w:space="0"/>
              <w:left w:val="single" w:color="b7c9d6" w:sz="4" w:space="0"/>
              <w:bottom w:val="single" w:color="b7c9d6" w:sz="4" w:space="0"/>
              <w:right w:val="single" w:color="b7c9d6" w:sz="4" w:space="0"/>
            </w:tcBorders>
            <w:tcMar>
              <w:left w:w="90" w:type="dxa"/>
              <w:top w:w="70" w:type="dxa"/>
              <w:right w:w="90" w:type="dxa"/>
              <w:bottom w:w="70" w:type="dxa"/>
            </w:tcMar>
            <w:tcW w:w="4464" w:type="dxa"/>
            <w:vAlign w:val="center"/>
          </w:tcPr>
          <w:p>
            <w:pPr>
              <w:pBdr/>
              <w:spacing w:after="30"/>
              <w:ind/>
              <w:rPr/>
            </w:pPr>
            <w:r>
              <w:rPr>
                <w:rFonts w:ascii="Arial" w:hAnsi="Arial"/>
                <w:color w:val="1f2933"/>
                <w:sz w:val="16"/>
              </w:rPr>
              <w:t xml:space="preserve">Secure operations, preserve evidence, fix vulnerabilities and coordinate appropriate notification</w:t>
            </w:r>
            <w:r/>
          </w:p>
        </w:tc>
      </w:tr>
    </w:tbl>
    <w:p w14:paraId="75605EBB">
      <w:pPr>
        <w:pBdr/>
        <w:spacing/>
        <w:ind/>
        <w:rPr/>
      </w:pPr>
      <w:r/>
    </w:p>
    <w:sectPr>
      <w:headerReference w:type="default" r:id="rId9"/>
      <w:footerReference w:type="default" r:id="rId10"/>
      <w:footnotePr/>
      <w:endnotePr/>
      <w:type w:val="nextPage"/>
      <w:pgSz w:h="15840" w:orient="portrait" w:w="12240"/>
      <w:pgMar w:top="1080" w:right="1152" w:bottom="1008"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3"/>
      <w:pBdr/>
      <w:tabs>
        <w:tab w:val="right" w:leader="none" w:pos="9648"/>
      </w:tabs>
      <w:spacing/>
      <w:ind/>
      <w:jc w:val="right"/>
      <w:rPr/>
    </w:pPr>
    <w:r>
      <w:rPr>
        <w:rFonts w:ascii="Arial" w:hAnsi="Arial"/>
        <w:color w:val="5b6573"/>
        <w:sz w:val="16"/>
      </w:rPr>
      <w:t xml:space="preserve"> July 2026</w:t>
    </w:r>
    <w:r>
      <w:tab/>
    </w:r>
    <w:r>
      <w:rPr>
        <w:color w:val="5b6573"/>
        <w:sz w:val="16"/>
      </w:rPr>
      <w:t xml:space="preserve">Page </w:t>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right"/>
      <w:rPr/>
    </w:pPr>
    <w:r>
      <w:rPr>
        <w:rFonts w:ascii="Arial" w:hAnsi="Arial"/>
        <w:b/>
        <w:color w:val="2f75b5"/>
        <w:sz w:val="16"/>
      </w:rPr>
      <w:t xml:space="preserve">CYBERSECURITY POLICIES &amp; INCIDENT RESPONSE PLAN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5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10"/>
    <w:link w:val="182"/>
    <w:uiPriority w:val="99"/>
    <w:semiHidden/>
    <w:unhideWhenUsed/>
    <w:pPr>
      <w:pBdr/>
      <w:spacing w:after="0" w:line="240" w:lineRule="auto"/>
      <w:ind/>
    </w:pPr>
    <w:rPr>
      <w:sz w:val="20"/>
      <w:szCs w:val="20"/>
    </w:rPr>
  </w:style>
  <w:style w:type="character" w:styleId="182">
    <w:name w:val="Footnote Text Char"/>
    <w:basedOn w:val="724"/>
    <w:link w:val="181"/>
    <w:uiPriority w:val="99"/>
    <w:semiHidden/>
    <w:pPr>
      <w:pBdr/>
      <w:spacing/>
      <w:ind/>
    </w:pPr>
    <w:rPr>
      <w:sz w:val="20"/>
      <w:szCs w:val="20"/>
    </w:rPr>
  </w:style>
  <w:style w:type="character" w:styleId="183">
    <w:name w:val="footnote reference"/>
    <w:basedOn w:val="724"/>
    <w:uiPriority w:val="99"/>
    <w:semiHidden/>
    <w:unhideWhenUsed/>
    <w:pPr>
      <w:pBdr/>
      <w:spacing/>
      <w:ind/>
    </w:pPr>
    <w:rPr>
      <w:vertAlign w:val="superscript"/>
    </w:rPr>
  </w:style>
  <w:style w:type="paragraph" w:styleId="184">
    <w:name w:val="endnote text"/>
    <w:basedOn w:val="710"/>
    <w:link w:val="185"/>
    <w:uiPriority w:val="99"/>
    <w:semiHidden/>
    <w:unhideWhenUsed/>
    <w:pPr>
      <w:pBdr/>
      <w:spacing w:after="0" w:line="240" w:lineRule="auto"/>
      <w:ind/>
    </w:pPr>
    <w:rPr>
      <w:sz w:val="20"/>
      <w:szCs w:val="20"/>
    </w:rPr>
  </w:style>
  <w:style w:type="character" w:styleId="185">
    <w:name w:val="Endnote Text Char"/>
    <w:basedOn w:val="724"/>
    <w:link w:val="184"/>
    <w:uiPriority w:val="99"/>
    <w:semiHidden/>
    <w:pPr>
      <w:pBdr/>
      <w:spacing/>
      <w:ind/>
    </w:pPr>
    <w:rPr>
      <w:sz w:val="20"/>
      <w:szCs w:val="20"/>
    </w:rPr>
  </w:style>
  <w:style w:type="character" w:styleId="186">
    <w:name w:val="endnote reference"/>
    <w:basedOn w:val="724"/>
    <w:uiPriority w:val="99"/>
    <w:semiHidden/>
    <w:unhideWhenUsed/>
    <w:pPr>
      <w:pBdr/>
      <w:spacing/>
      <w:ind/>
    </w:pPr>
    <w:rPr>
      <w:vertAlign w:val="superscript"/>
    </w:rPr>
  </w:style>
  <w:style w:type="character" w:styleId="187">
    <w:name w:val="Hyperlink"/>
    <w:basedOn w:val="724"/>
    <w:uiPriority w:val="99"/>
    <w:unhideWhenUsed/>
    <w:pPr>
      <w:pBdr/>
      <w:spacing/>
      <w:ind/>
    </w:pPr>
    <w:rPr>
      <w:color w:val="0563c1" w:themeColor="hyperlink"/>
      <w:u w:val="single"/>
    </w:rPr>
  </w:style>
  <w:style w:type="character" w:styleId="188">
    <w:name w:val="FollowedHyperlink"/>
    <w:basedOn w:val="724"/>
    <w:uiPriority w:val="99"/>
    <w:semiHidden/>
    <w:unhideWhenUsed/>
    <w:pPr>
      <w:pBdr/>
      <w:spacing/>
      <w:ind/>
    </w:pPr>
    <w:rPr>
      <w:color w:val="954f72" w:themeColor="followedHyperlink"/>
      <w:u w:val="single"/>
    </w:rPr>
  </w:style>
  <w:style w:type="paragraph" w:styleId="189">
    <w:name w:val="toc 1"/>
    <w:basedOn w:val="710"/>
    <w:next w:val="710"/>
    <w:uiPriority w:val="39"/>
    <w:unhideWhenUsed/>
    <w:pPr>
      <w:pBdr/>
      <w:spacing w:after="100"/>
      <w:ind/>
    </w:pPr>
  </w:style>
  <w:style w:type="paragraph" w:styleId="190">
    <w:name w:val="toc 2"/>
    <w:basedOn w:val="710"/>
    <w:next w:val="710"/>
    <w:uiPriority w:val="39"/>
    <w:unhideWhenUsed/>
    <w:pPr>
      <w:pBdr/>
      <w:spacing w:after="100"/>
      <w:ind w:left="220"/>
    </w:pPr>
  </w:style>
  <w:style w:type="paragraph" w:styleId="191">
    <w:name w:val="toc 3"/>
    <w:basedOn w:val="710"/>
    <w:next w:val="710"/>
    <w:uiPriority w:val="39"/>
    <w:unhideWhenUsed/>
    <w:pPr>
      <w:pBdr/>
      <w:spacing w:after="100"/>
      <w:ind w:left="440"/>
    </w:pPr>
  </w:style>
  <w:style w:type="paragraph" w:styleId="192">
    <w:name w:val="toc 4"/>
    <w:basedOn w:val="710"/>
    <w:next w:val="710"/>
    <w:uiPriority w:val="39"/>
    <w:unhideWhenUsed/>
    <w:pPr>
      <w:pBdr/>
      <w:spacing w:after="100"/>
      <w:ind w:left="660"/>
    </w:pPr>
  </w:style>
  <w:style w:type="paragraph" w:styleId="193">
    <w:name w:val="toc 5"/>
    <w:basedOn w:val="710"/>
    <w:next w:val="710"/>
    <w:uiPriority w:val="39"/>
    <w:unhideWhenUsed/>
    <w:pPr>
      <w:pBdr/>
      <w:spacing w:after="100"/>
      <w:ind w:left="880"/>
    </w:pPr>
  </w:style>
  <w:style w:type="paragraph" w:styleId="194">
    <w:name w:val="toc 6"/>
    <w:basedOn w:val="710"/>
    <w:next w:val="710"/>
    <w:uiPriority w:val="39"/>
    <w:unhideWhenUsed/>
    <w:pPr>
      <w:pBdr/>
      <w:spacing w:after="100"/>
      <w:ind w:left="1100"/>
    </w:pPr>
  </w:style>
  <w:style w:type="paragraph" w:styleId="195">
    <w:name w:val="toc 7"/>
    <w:basedOn w:val="710"/>
    <w:next w:val="710"/>
    <w:uiPriority w:val="39"/>
    <w:unhideWhenUsed/>
    <w:pPr>
      <w:pBdr/>
      <w:spacing w:after="100"/>
      <w:ind w:left="1320"/>
    </w:pPr>
  </w:style>
  <w:style w:type="paragraph" w:styleId="196">
    <w:name w:val="toc 8"/>
    <w:basedOn w:val="710"/>
    <w:next w:val="710"/>
    <w:uiPriority w:val="39"/>
    <w:unhideWhenUsed/>
    <w:pPr>
      <w:pBdr/>
      <w:spacing w:after="100"/>
      <w:ind w:left="1540"/>
    </w:pPr>
  </w:style>
  <w:style w:type="paragraph" w:styleId="197">
    <w:name w:val="toc 9"/>
    <w:basedOn w:val="710"/>
    <w:next w:val="710"/>
    <w:uiPriority w:val="39"/>
    <w:unhideWhenUsed/>
    <w:pPr>
      <w:pBdr/>
      <w:spacing w:after="100"/>
      <w:ind w:left="1760"/>
    </w:pPr>
  </w:style>
  <w:style w:type="character" w:styleId="198">
    <w:name w:val="Placeholder Text"/>
    <w:basedOn w:val="724"/>
    <w:uiPriority w:val="99"/>
    <w:semiHidden/>
    <w:pPr>
      <w:pBdr/>
      <w:spacing/>
      <w:ind/>
    </w:pPr>
    <w:rPr>
      <w:color w:val="666666"/>
    </w:rPr>
  </w:style>
  <w:style w:type="paragraph" w:styleId="209">
    <w:name w:val="table of figures"/>
    <w:basedOn w:val="710"/>
    <w:next w:val="710"/>
    <w:uiPriority w:val="99"/>
    <w:unhideWhenUsed/>
    <w:pPr>
      <w:pBdr/>
      <w:spacing w:after="0" w:afterAutospacing="0"/>
      <w:ind/>
    </w:pPr>
  </w:style>
  <w:style w:type="paragraph" w:styleId="710" w:default="1">
    <w:name w:val="Normal"/>
    <w:qFormat/>
    <w:pPr>
      <w:pBdr/>
      <w:spacing w:after="100" w:line="259" w:lineRule="auto"/>
      <w:ind/>
    </w:pPr>
    <w:rPr>
      <w:rFonts w:ascii="Arial" w:hAnsi="Arial" w:eastAsia="Arial"/>
      <w:color w:val="1f2933"/>
      <w:sz w:val="21"/>
    </w:rPr>
  </w:style>
  <w:style w:type="paragraph" w:styleId="711">
    <w:name w:val="Header"/>
    <w:basedOn w:val="710"/>
    <w:link w:val="712"/>
    <w:uiPriority w:val="99"/>
    <w:unhideWhenUsed/>
    <w:pPr>
      <w:pBdr/>
      <w:tabs>
        <w:tab w:val="center" w:leader="none" w:pos="4680"/>
        <w:tab w:val="right" w:leader="none" w:pos="9360"/>
      </w:tabs>
      <w:spacing w:after="0" w:line="240" w:lineRule="auto"/>
      <w:ind/>
    </w:pPr>
  </w:style>
  <w:style w:type="character" w:styleId="712" w:customStyle="1">
    <w:name w:val="Header Char"/>
    <w:basedOn w:val="724"/>
    <w:link w:val="711"/>
    <w:uiPriority w:val="99"/>
    <w:pPr>
      <w:pBdr/>
      <w:spacing/>
      <w:ind/>
    </w:pPr>
  </w:style>
  <w:style w:type="paragraph" w:styleId="713">
    <w:name w:val="Footer"/>
    <w:basedOn w:val="710"/>
    <w:link w:val="714"/>
    <w:uiPriority w:val="99"/>
    <w:unhideWhenUsed/>
    <w:pPr>
      <w:pBdr/>
      <w:tabs>
        <w:tab w:val="center" w:leader="none" w:pos="4680"/>
        <w:tab w:val="right" w:leader="none" w:pos="9360"/>
      </w:tabs>
      <w:spacing w:after="0" w:line="240" w:lineRule="auto"/>
      <w:ind/>
    </w:pPr>
  </w:style>
  <w:style w:type="character" w:styleId="714" w:customStyle="1">
    <w:name w:val="Footer Char"/>
    <w:basedOn w:val="724"/>
    <w:link w:val="713"/>
    <w:uiPriority w:val="99"/>
    <w:pPr>
      <w:pBdr/>
      <w:spacing/>
      <w:ind/>
    </w:pPr>
  </w:style>
  <w:style w:type="paragraph" w:styleId="715">
    <w:name w:val="Heading 1"/>
    <w:basedOn w:val="710"/>
    <w:next w:val="710"/>
    <w:link w:val="728"/>
    <w:uiPriority w:val="9"/>
    <w:qFormat/>
    <w:pPr>
      <w:keepNext w:val="true"/>
      <w:keepLines w:val="true"/>
      <w:pBdr/>
      <w:spacing w:after="140" w:before="260"/>
      <w:ind/>
      <w:outlineLvl w:val="0"/>
    </w:pPr>
    <w:rPr>
      <w:rFonts w:ascii="Arial" w:hAnsi="Arial" w:eastAsia="Arial" w:asciiTheme="majorHAnsi" w:hAnsiTheme="majorHAnsi" w:eastAsiaTheme="majorEastAsia" w:cstheme="majorBidi"/>
      <w:b/>
      <w:bCs/>
      <w:color w:val="17365d"/>
      <w:sz w:val="36"/>
      <w:szCs w:val="28"/>
    </w:rPr>
  </w:style>
  <w:style w:type="paragraph" w:styleId="716">
    <w:name w:val="Heading 2"/>
    <w:basedOn w:val="710"/>
    <w:next w:val="710"/>
    <w:link w:val="729"/>
    <w:uiPriority w:val="9"/>
    <w:unhideWhenUsed/>
    <w:qFormat/>
    <w:pPr>
      <w:keepNext w:val="true"/>
      <w:keepLines w:val="true"/>
      <w:pBdr/>
      <w:spacing w:after="100" w:before="200"/>
      <w:ind/>
      <w:outlineLvl w:val="1"/>
    </w:pPr>
    <w:rPr>
      <w:rFonts w:ascii="Arial" w:hAnsi="Arial" w:eastAsia="Arial" w:asciiTheme="majorHAnsi" w:hAnsiTheme="majorHAnsi" w:eastAsiaTheme="majorEastAsia" w:cstheme="majorBidi"/>
      <w:b/>
      <w:bCs/>
      <w:color w:val="2f75b5"/>
      <w:sz w:val="28"/>
      <w:szCs w:val="26"/>
    </w:rPr>
  </w:style>
  <w:style w:type="paragraph" w:styleId="717">
    <w:name w:val="Heading 3"/>
    <w:basedOn w:val="710"/>
    <w:next w:val="710"/>
    <w:link w:val="730"/>
    <w:uiPriority w:val="9"/>
    <w:unhideWhenUsed/>
    <w:qFormat/>
    <w:pPr>
      <w:keepNext w:val="true"/>
      <w:keepLines w:val="true"/>
      <w:pBdr/>
      <w:spacing w:after="80" w:before="160"/>
      <w:ind/>
      <w:outlineLvl w:val="2"/>
    </w:pPr>
    <w:rPr>
      <w:rFonts w:ascii="Arial" w:hAnsi="Arial" w:eastAsia="Arial" w:asciiTheme="majorHAnsi" w:hAnsiTheme="majorHAnsi" w:eastAsiaTheme="majorEastAsia" w:cstheme="majorBidi"/>
      <w:b/>
      <w:bCs/>
      <w:color w:val="2f6f75"/>
      <w:sz w:val="23"/>
    </w:rPr>
  </w:style>
  <w:style w:type="paragraph" w:styleId="718">
    <w:name w:val="Heading 4"/>
    <w:basedOn w:val="710"/>
    <w:next w:val="710"/>
    <w:link w:val="758"/>
    <w:uiPriority w:val="9"/>
    <w:semiHidden/>
    <w:unhideWhenUsed/>
    <w:qFormat/>
    <w:pPr>
      <w:keepNext w:val="true"/>
      <w:keepLines w:val="true"/>
      <w:pBdr/>
      <w:spacing w:after="0" w:before="200"/>
      <w:ind/>
      <w:outlineLvl w:val="3"/>
    </w:pPr>
    <w:rPr>
      <w:rFonts w:ascii="Arial" w:hAnsi="Arial" w:eastAsia="Arial" w:asciiTheme="majorHAnsi" w:hAnsiTheme="majorHAnsi" w:eastAsiaTheme="majorEastAsia" w:cstheme="majorBidi"/>
      <w:b/>
      <w:bCs/>
      <w:i/>
      <w:iCs/>
      <w:color w:val="4f81bd" w:themeColor="accent1"/>
    </w:rPr>
  </w:style>
  <w:style w:type="paragraph" w:styleId="719">
    <w:name w:val="Heading 5"/>
    <w:basedOn w:val="710"/>
    <w:next w:val="710"/>
    <w:link w:val="75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20">
    <w:name w:val="Heading 6"/>
    <w:basedOn w:val="710"/>
    <w:next w:val="710"/>
    <w:link w:val="76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21">
    <w:name w:val="Heading 7"/>
    <w:basedOn w:val="710"/>
    <w:next w:val="710"/>
    <w:link w:val="76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2">
    <w:name w:val="Heading 8"/>
    <w:basedOn w:val="710"/>
    <w:next w:val="710"/>
    <w:link w:val="76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3">
    <w:name w:val="Heading 9"/>
    <w:basedOn w:val="710"/>
    <w:next w:val="710"/>
    <w:link w:val="76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4" w:default="1">
    <w:name w:val="Default Paragraph Font"/>
    <w:uiPriority w:val="1"/>
    <w:semiHidden/>
    <w:unhideWhenUsed/>
    <w:pPr>
      <w:pBdr/>
      <w:spacing/>
      <w:ind/>
    </w:pPr>
  </w:style>
  <w:style w:type="table" w:styleId="72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6" w:default="1">
    <w:name w:val="No List"/>
    <w:uiPriority w:val="99"/>
    <w:semiHidden/>
    <w:unhideWhenUsed/>
    <w:pPr>
      <w:pBdr/>
      <w:spacing/>
      <w:ind/>
    </w:pPr>
  </w:style>
  <w:style w:type="paragraph" w:styleId="727">
    <w:name w:val="No Spacing"/>
    <w:uiPriority w:val="1"/>
    <w:qFormat/>
    <w:pPr>
      <w:pBdr/>
      <w:spacing w:after="0" w:line="240" w:lineRule="auto"/>
      <w:ind/>
    </w:pPr>
  </w:style>
  <w:style w:type="character" w:styleId="728" w:customStyle="1">
    <w:name w:val="Heading 1 Char"/>
    <w:basedOn w:val="724"/>
    <w:link w:val="715"/>
    <w:uiPriority w:val="9"/>
    <w:pPr>
      <w:pBdr/>
      <w:spacing/>
      <w:ind/>
    </w:pPr>
    <w:rPr>
      <w:rFonts w:asciiTheme="majorHAnsi" w:hAnsiTheme="majorHAnsi" w:eastAsiaTheme="majorEastAsia" w:cstheme="majorBidi"/>
      <w:b/>
      <w:bCs/>
      <w:color w:val="365f91" w:themeColor="accent1" w:themeShade="BF"/>
      <w:sz w:val="28"/>
      <w:szCs w:val="28"/>
    </w:rPr>
  </w:style>
  <w:style w:type="character" w:styleId="729" w:customStyle="1">
    <w:name w:val="Heading 2 Char"/>
    <w:basedOn w:val="724"/>
    <w:link w:val="716"/>
    <w:uiPriority w:val="9"/>
    <w:pPr>
      <w:pBdr/>
      <w:spacing/>
      <w:ind/>
    </w:pPr>
    <w:rPr>
      <w:rFonts w:asciiTheme="majorHAnsi" w:hAnsiTheme="majorHAnsi" w:eastAsiaTheme="majorEastAsia" w:cstheme="majorBidi"/>
      <w:b/>
      <w:bCs/>
      <w:color w:val="4f81bd" w:themeColor="accent1"/>
      <w:sz w:val="26"/>
      <w:szCs w:val="26"/>
    </w:rPr>
  </w:style>
  <w:style w:type="character" w:styleId="730" w:customStyle="1">
    <w:name w:val="Heading 3 Char"/>
    <w:basedOn w:val="724"/>
    <w:link w:val="717"/>
    <w:uiPriority w:val="9"/>
    <w:pPr>
      <w:pBdr/>
      <w:spacing/>
      <w:ind/>
    </w:pPr>
    <w:rPr>
      <w:rFonts w:asciiTheme="majorHAnsi" w:hAnsiTheme="majorHAnsi" w:eastAsiaTheme="majorEastAsia" w:cstheme="majorBidi"/>
      <w:b/>
      <w:bCs/>
      <w:color w:val="4f81bd" w:themeColor="accent1"/>
    </w:rPr>
  </w:style>
  <w:style w:type="paragraph" w:styleId="731">
    <w:name w:val="Title"/>
    <w:basedOn w:val="710"/>
    <w:next w:val="710"/>
    <w:link w:val="732"/>
    <w:uiPriority w:val="10"/>
    <w:qFormat/>
    <w:pPr>
      <w:pBdr>
        <w:bottom w:val="single" w:color="4f81bd" w:themeColor="accent1" w:sz="8" w:space="4"/>
      </w:pBdr>
      <w:spacing w:after="300" w:line="240" w:lineRule="auto"/>
      <w:ind/>
      <w:contextualSpacing w:val="true"/>
    </w:pPr>
    <w:rPr>
      <w:rFonts w:ascii="Arial" w:hAnsi="Arial" w:eastAsia="Arial" w:asciiTheme="majorHAnsi" w:hAnsiTheme="majorHAnsi" w:eastAsiaTheme="majorEastAsia" w:cstheme="majorBidi"/>
      <w:b/>
      <w:color w:val="17365d"/>
      <w:spacing w:val="5"/>
      <w:sz w:val="60"/>
      <w:szCs w:val="52"/>
    </w:rPr>
  </w:style>
  <w:style w:type="character" w:styleId="732" w:customStyle="1">
    <w:name w:val="Title Char"/>
    <w:basedOn w:val="724"/>
    <w:link w:val="73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3">
    <w:name w:val="Subtitle"/>
    <w:basedOn w:val="710"/>
    <w:next w:val="710"/>
    <w:link w:val="734"/>
    <w:uiPriority w:val="11"/>
    <w:qFormat/>
    <w:pPr>
      <w:numPr>
        <w:ilvl w:val="1"/>
      </w:numPr>
      <w:pBdr/>
      <w:spacing/>
      <w:ind/>
    </w:pPr>
    <w:rPr>
      <w:rFonts w:ascii="Arial" w:hAnsi="Arial" w:eastAsia="Arial" w:asciiTheme="majorHAnsi" w:hAnsiTheme="majorHAnsi" w:eastAsiaTheme="majorEastAsia" w:cstheme="majorBidi"/>
      <w:i/>
      <w:iCs/>
      <w:color w:val="5b6573"/>
      <w:spacing w:val="15"/>
      <w:sz w:val="28"/>
      <w:szCs w:val="24"/>
    </w:rPr>
  </w:style>
  <w:style w:type="character" w:styleId="734" w:customStyle="1">
    <w:name w:val="Subtitle Char"/>
    <w:basedOn w:val="724"/>
    <w:link w:val="73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5">
    <w:name w:val="List Paragraph"/>
    <w:basedOn w:val="710"/>
    <w:uiPriority w:val="34"/>
    <w:qFormat/>
    <w:pPr>
      <w:pBdr/>
      <w:spacing/>
      <w:ind w:left="720"/>
      <w:contextualSpacing w:val="true"/>
    </w:pPr>
  </w:style>
  <w:style w:type="paragraph" w:styleId="736">
    <w:name w:val="Body Text"/>
    <w:basedOn w:val="710"/>
    <w:link w:val="737"/>
    <w:uiPriority w:val="99"/>
    <w:unhideWhenUsed/>
    <w:pPr>
      <w:pBdr/>
      <w:spacing w:after="120"/>
      <w:ind/>
    </w:pPr>
  </w:style>
  <w:style w:type="character" w:styleId="737" w:customStyle="1">
    <w:name w:val="Body Text Char"/>
    <w:basedOn w:val="724"/>
    <w:link w:val="736"/>
    <w:uiPriority w:val="99"/>
    <w:pPr>
      <w:pBdr/>
      <w:spacing/>
      <w:ind/>
    </w:pPr>
  </w:style>
  <w:style w:type="paragraph" w:styleId="738">
    <w:name w:val="Body Text 2"/>
    <w:basedOn w:val="710"/>
    <w:link w:val="739"/>
    <w:uiPriority w:val="99"/>
    <w:unhideWhenUsed/>
    <w:pPr>
      <w:pBdr/>
      <w:spacing w:after="120" w:line="480" w:lineRule="auto"/>
      <w:ind/>
    </w:pPr>
  </w:style>
  <w:style w:type="character" w:styleId="739" w:customStyle="1">
    <w:name w:val="Body Text 2 Char"/>
    <w:basedOn w:val="724"/>
    <w:link w:val="738"/>
    <w:uiPriority w:val="99"/>
    <w:pPr>
      <w:pBdr/>
      <w:spacing/>
      <w:ind/>
    </w:pPr>
  </w:style>
  <w:style w:type="paragraph" w:styleId="740">
    <w:name w:val="Body Text 3"/>
    <w:basedOn w:val="710"/>
    <w:link w:val="741"/>
    <w:uiPriority w:val="99"/>
    <w:unhideWhenUsed/>
    <w:pPr>
      <w:pBdr/>
      <w:spacing w:after="120"/>
      <w:ind/>
    </w:pPr>
    <w:rPr>
      <w:sz w:val="16"/>
      <w:szCs w:val="16"/>
    </w:rPr>
  </w:style>
  <w:style w:type="character" w:styleId="741" w:customStyle="1">
    <w:name w:val="Body Text 3 Char"/>
    <w:basedOn w:val="724"/>
    <w:link w:val="740"/>
    <w:uiPriority w:val="99"/>
    <w:pPr>
      <w:pBdr/>
      <w:spacing/>
      <w:ind/>
    </w:pPr>
    <w:rPr>
      <w:sz w:val="16"/>
      <w:szCs w:val="16"/>
    </w:rPr>
  </w:style>
  <w:style w:type="paragraph" w:styleId="742">
    <w:name w:val="List"/>
    <w:basedOn w:val="710"/>
    <w:uiPriority w:val="99"/>
    <w:unhideWhenUsed/>
    <w:pPr>
      <w:pBdr/>
      <w:spacing/>
      <w:ind w:hanging="360" w:left="360"/>
      <w:contextualSpacing w:val="true"/>
    </w:pPr>
  </w:style>
  <w:style w:type="paragraph" w:styleId="743">
    <w:name w:val="List 2"/>
    <w:basedOn w:val="710"/>
    <w:uiPriority w:val="99"/>
    <w:unhideWhenUsed/>
    <w:pPr>
      <w:pBdr/>
      <w:spacing/>
      <w:ind w:hanging="360" w:left="720"/>
      <w:contextualSpacing w:val="true"/>
    </w:pPr>
  </w:style>
  <w:style w:type="paragraph" w:styleId="744">
    <w:name w:val="List 3"/>
    <w:basedOn w:val="710"/>
    <w:uiPriority w:val="99"/>
    <w:unhideWhenUsed/>
    <w:pPr>
      <w:pBdr/>
      <w:spacing/>
      <w:ind w:hanging="360" w:left="1080"/>
      <w:contextualSpacing w:val="true"/>
    </w:pPr>
  </w:style>
  <w:style w:type="paragraph" w:styleId="745">
    <w:name w:val="List Bullet"/>
    <w:basedOn w:val="710"/>
    <w:uiPriority w:val="99"/>
    <w:unhideWhenUsed/>
    <w:pPr>
      <w:numPr>
        <w:numId w:val="1"/>
      </w:numPr>
      <w:pBdr/>
      <w:spacing/>
      <w:ind/>
      <w:contextualSpacing w:val="true"/>
    </w:pPr>
    <w:rPr>
      <w:rFonts w:ascii="Arial" w:hAnsi="Arial"/>
      <w:sz w:val="20"/>
    </w:rPr>
  </w:style>
  <w:style w:type="paragraph" w:styleId="746">
    <w:name w:val="List Bullet 2"/>
    <w:basedOn w:val="710"/>
    <w:uiPriority w:val="99"/>
    <w:unhideWhenUsed/>
    <w:pPr>
      <w:numPr>
        <w:numId w:val="2"/>
      </w:numPr>
      <w:pBdr/>
      <w:spacing/>
      <w:ind/>
      <w:contextualSpacing w:val="true"/>
    </w:pPr>
  </w:style>
  <w:style w:type="paragraph" w:styleId="747">
    <w:name w:val="List Bullet 3"/>
    <w:basedOn w:val="710"/>
    <w:uiPriority w:val="99"/>
    <w:unhideWhenUsed/>
    <w:pPr>
      <w:numPr>
        <w:numId w:val="3"/>
      </w:numPr>
      <w:pBdr/>
      <w:spacing/>
      <w:ind/>
      <w:contextualSpacing w:val="true"/>
    </w:pPr>
  </w:style>
  <w:style w:type="paragraph" w:styleId="748">
    <w:name w:val="List Number"/>
    <w:basedOn w:val="710"/>
    <w:uiPriority w:val="99"/>
    <w:unhideWhenUsed/>
    <w:pPr>
      <w:numPr>
        <w:numId w:val="5"/>
      </w:numPr>
      <w:pBdr/>
      <w:spacing/>
      <w:ind/>
      <w:contextualSpacing w:val="true"/>
    </w:pPr>
    <w:rPr>
      <w:rFonts w:ascii="Arial" w:hAnsi="Arial"/>
      <w:sz w:val="20"/>
    </w:rPr>
  </w:style>
  <w:style w:type="paragraph" w:styleId="749">
    <w:name w:val="List Number 2"/>
    <w:basedOn w:val="710"/>
    <w:uiPriority w:val="99"/>
    <w:unhideWhenUsed/>
    <w:pPr>
      <w:numPr>
        <w:numId w:val="6"/>
      </w:numPr>
      <w:pBdr/>
      <w:spacing/>
      <w:ind/>
      <w:contextualSpacing w:val="true"/>
    </w:pPr>
  </w:style>
  <w:style w:type="paragraph" w:styleId="750">
    <w:name w:val="List Number 3"/>
    <w:basedOn w:val="710"/>
    <w:uiPriority w:val="99"/>
    <w:unhideWhenUsed/>
    <w:pPr>
      <w:numPr>
        <w:numId w:val="7"/>
      </w:numPr>
      <w:pBdr/>
      <w:spacing/>
      <w:ind/>
      <w:contextualSpacing w:val="true"/>
    </w:pPr>
  </w:style>
  <w:style w:type="paragraph" w:styleId="751">
    <w:name w:val="List Continue"/>
    <w:basedOn w:val="710"/>
    <w:uiPriority w:val="99"/>
    <w:unhideWhenUsed/>
    <w:pPr>
      <w:pBdr/>
      <w:spacing w:after="120"/>
      <w:ind w:left="360"/>
      <w:contextualSpacing w:val="true"/>
    </w:pPr>
  </w:style>
  <w:style w:type="paragraph" w:styleId="752">
    <w:name w:val="List Continue 2"/>
    <w:basedOn w:val="710"/>
    <w:uiPriority w:val="99"/>
    <w:unhideWhenUsed/>
    <w:pPr>
      <w:pBdr/>
      <w:spacing w:after="120"/>
      <w:ind w:left="720"/>
      <w:contextualSpacing w:val="true"/>
    </w:pPr>
  </w:style>
  <w:style w:type="paragraph" w:styleId="753">
    <w:name w:val="List Continue 3"/>
    <w:basedOn w:val="710"/>
    <w:uiPriority w:val="99"/>
    <w:unhideWhenUsed/>
    <w:pPr>
      <w:pBdr/>
      <w:spacing w:after="120"/>
      <w:ind w:left="1080"/>
      <w:contextualSpacing w:val="true"/>
    </w:pPr>
  </w:style>
  <w:style w:type="paragraph" w:styleId="754">
    <w:name w:val="macro"/>
    <w:link w:val="75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5" w:customStyle="1">
    <w:name w:val="Macro Text Char"/>
    <w:basedOn w:val="724"/>
    <w:link w:val="754"/>
    <w:uiPriority w:val="99"/>
    <w:pPr>
      <w:pBdr/>
      <w:spacing/>
      <w:ind/>
    </w:pPr>
    <w:rPr>
      <w:rFonts w:ascii="Courier" w:hAnsi="Courier"/>
      <w:sz w:val="20"/>
      <w:szCs w:val="20"/>
    </w:rPr>
  </w:style>
  <w:style w:type="paragraph" w:styleId="756">
    <w:name w:val="Quote"/>
    <w:basedOn w:val="710"/>
    <w:next w:val="710"/>
    <w:link w:val="757"/>
    <w:uiPriority w:val="29"/>
    <w:qFormat/>
    <w:pPr>
      <w:pBdr/>
      <w:spacing/>
      <w:ind/>
    </w:pPr>
    <w:rPr>
      <w:i/>
      <w:iCs/>
      <w:color w:val="000000" w:themeColor="text1"/>
    </w:rPr>
  </w:style>
  <w:style w:type="character" w:styleId="757" w:customStyle="1">
    <w:name w:val="Quote Char"/>
    <w:basedOn w:val="724"/>
    <w:link w:val="756"/>
    <w:uiPriority w:val="29"/>
    <w:pPr>
      <w:pBdr/>
      <w:spacing/>
      <w:ind/>
    </w:pPr>
    <w:rPr>
      <w:i/>
      <w:iCs/>
      <w:color w:val="000000" w:themeColor="text1"/>
    </w:rPr>
  </w:style>
  <w:style w:type="character" w:styleId="758" w:customStyle="1">
    <w:name w:val="Heading 4 Char"/>
    <w:basedOn w:val="724"/>
    <w:link w:val="718"/>
    <w:uiPriority w:val="9"/>
    <w:semiHidden/>
    <w:pPr>
      <w:pBdr/>
      <w:spacing/>
      <w:ind/>
    </w:pPr>
    <w:rPr>
      <w:rFonts w:asciiTheme="majorHAnsi" w:hAnsiTheme="majorHAnsi" w:eastAsiaTheme="majorEastAsia" w:cstheme="majorBidi"/>
      <w:b/>
      <w:bCs/>
      <w:i/>
      <w:iCs/>
      <w:color w:val="4f81bd" w:themeColor="accent1"/>
    </w:rPr>
  </w:style>
  <w:style w:type="character" w:styleId="759" w:customStyle="1">
    <w:name w:val="Heading 5 Char"/>
    <w:basedOn w:val="724"/>
    <w:link w:val="719"/>
    <w:uiPriority w:val="9"/>
    <w:semiHidden/>
    <w:pPr>
      <w:pBdr/>
      <w:spacing/>
      <w:ind/>
    </w:pPr>
    <w:rPr>
      <w:rFonts w:asciiTheme="majorHAnsi" w:hAnsiTheme="majorHAnsi" w:eastAsiaTheme="majorEastAsia" w:cstheme="majorBidi"/>
      <w:color w:val="243f60" w:themeColor="accent1" w:themeShade="7F"/>
    </w:rPr>
  </w:style>
  <w:style w:type="character" w:styleId="760" w:customStyle="1">
    <w:name w:val="Heading 6 Char"/>
    <w:basedOn w:val="724"/>
    <w:link w:val="720"/>
    <w:uiPriority w:val="9"/>
    <w:semiHidden/>
    <w:pPr>
      <w:pBdr/>
      <w:spacing/>
      <w:ind/>
    </w:pPr>
    <w:rPr>
      <w:rFonts w:asciiTheme="majorHAnsi" w:hAnsiTheme="majorHAnsi" w:eastAsiaTheme="majorEastAsia" w:cstheme="majorBidi"/>
      <w:i/>
      <w:iCs/>
      <w:color w:val="243f60" w:themeColor="accent1" w:themeShade="7F"/>
    </w:rPr>
  </w:style>
  <w:style w:type="character" w:styleId="761" w:customStyle="1">
    <w:name w:val="Heading 7 Char"/>
    <w:basedOn w:val="724"/>
    <w:link w:val="721"/>
    <w:uiPriority w:val="9"/>
    <w:semiHidden/>
    <w:pPr>
      <w:pBdr/>
      <w:spacing/>
      <w:ind/>
    </w:pPr>
    <w:rPr>
      <w:rFonts w:asciiTheme="majorHAnsi" w:hAnsiTheme="majorHAnsi" w:eastAsiaTheme="majorEastAsia" w:cstheme="majorBidi"/>
      <w:i/>
      <w:iCs/>
      <w:color w:val="404040" w:themeColor="text1" w:themeTint="BF"/>
    </w:rPr>
  </w:style>
  <w:style w:type="character" w:styleId="762" w:customStyle="1">
    <w:name w:val="Heading 8 Char"/>
    <w:basedOn w:val="724"/>
    <w:link w:val="722"/>
    <w:uiPriority w:val="9"/>
    <w:semiHidden/>
    <w:pPr>
      <w:pBdr/>
      <w:spacing/>
      <w:ind/>
    </w:pPr>
    <w:rPr>
      <w:rFonts w:asciiTheme="majorHAnsi" w:hAnsiTheme="majorHAnsi" w:eastAsiaTheme="majorEastAsia" w:cstheme="majorBidi"/>
      <w:color w:val="4f81bd" w:themeColor="accent1"/>
      <w:sz w:val="20"/>
      <w:szCs w:val="20"/>
    </w:rPr>
  </w:style>
  <w:style w:type="character" w:styleId="763" w:customStyle="1">
    <w:name w:val="Heading 9 Char"/>
    <w:basedOn w:val="724"/>
    <w:link w:val="72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4">
    <w:name w:val="Caption"/>
    <w:basedOn w:val="710"/>
    <w:next w:val="710"/>
    <w:uiPriority w:val="35"/>
    <w:semiHidden/>
    <w:unhideWhenUsed/>
    <w:qFormat/>
    <w:pPr>
      <w:pBdr/>
      <w:spacing w:line="240" w:lineRule="auto"/>
      <w:ind/>
    </w:pPr>
    <w:rPr>
      <w:b/>
      <w:bCs/>
      <w:color w:val="4f81bd" w:themeColor="accent1"/>
      <w:sz w:val="18"/>
      <w:szCs w:val="18"/>
    </w:rPr>
  </w:style>
  <w:style w:type="character" w:styleId="765">
    <w:name w:val="Strong"/>
    <w:basedOn w:val="724"/>
    <w:uiPriority w:val="22"/>
    <w:qFormat/>
    <w:pPr>
      <w:pBdr/>
      <w:spacing/>
      <w:ind/>
    </w:pPr>
    <w:rPr>
      <w:b/>
      <w:bCs/>
    </w:rPr>
  </w:style>
  <w:style w:type="character" w:styleId="766">
    <w:name w:val="Emphasis"/>
    <w:basedOn w:val="724"/>
    <w:uiPriority w:val="20"/>
    <w:qFormat/>
    <w:pPr>
      <w:pBdr/>
      <w:spacing/>
      <w:ind/>
    </w:pPr>
    <w:rPr>
      <w:i/>
      <w:iCs/>
    </w:rPr>
  </w:style>
  <w:style w:type="paragraph" w:styleId="767">
    <w:name w:val="Intense Quote"/>
    <w:basedOn w:val="710"/>
    <w:next w:val="710"/>
    <w:link w:val="768"/>
    <w:uiPriority w:val="30"/>
    <w:qFormat/>
    <w:pPr>
      <w:pBdr>
        <w:bottom w:val="single" w:color="4f81bd" w:themeColor="accent1" w:sz="4" w:space="4"/>
      </w:pBdr>
      <w:spacing w:after="280" w:before="200"/>
      <w:ind w:right="936" w:left="936"/>
    </w:pPr>
    <w:rPr>
      <w:b/>
      <w:bCs/>
      <w:i/>
      <w:iCs/>
      <w:color w:val="4f81bd" w:themeColor="accent1"/>
    </w:rPr>
  </w:style>
  <w:style w:type="character" w:styleId="768" w:customStyle="1">
    <w:name w:val="Intense Quote Char"/>
    <w:basedOn w:val="724"/>
    <w:link w:val="767"/>
    <w:uiPriority w:val="30"/>
    <w:pPr>
      <w:pBdr/>
      <w:spacing/>
      <w:ind/>
    </w:pPr>
    <w:rPr>
      <w:b/>
      <w:bCs/>
      <w:i/>
      <w:iCs/>
      <w:color w:val="4f81bd" w:themeColor="accent1"/>
    </w:rPr>
  </w:style>
  <w:style w:type="character" w:styleId="769">
    <w:name w:val="Subtle Emphasis"/>
    <w:basedOn w:val="724"/>
    <w:uiPriority w:val="19"/>
    <w:qFormat/>
    <w:pPr>
      <w:pBdr/>
      <w:spacing/>
      <w:ind/>
    </w:pPr>
    <w:rPr>
      <w:i/>
      <w:iCs/>
      <w:color w:val="808080" w:themeColor="text1" w:themeTint="7F"/>
    </w:rPr>
  </w:style>
  <w:style w:type="character" w:styleId="770">
    <w:name w:val="Intense Emphasis"/>
    <w:basedOn w:val="724"/>
    <w:uiPriority w:val="21"/>
    <w:qFormat/>
    <w:pPr>
      <w:pBdr/>
      <w:spacing/>
      <w:ind/>
    </w:pPr>
    <w:rPr>
      <w:b/>
      <w:bCs/>
      <w:i/>
      <w:iCs/>
      <w:color w:val="4f81bd" w:themeColor="accent1"/>
    </w:rPr>
  </w:style>
  <w:style w:type="character" w:styleId="771">
    <w:name w:val="Subtle Reference"/>
    <w:basedOn w:val="724"/>
    <w:uiPriority w:val="31"/>
    <w:qFormat/>
    <w:pPr>
      <w:pBdr/>
      <w:spacing/>
      <w:ind/>
    </w:pPr>
    <w:rPr>
      <w:smallCaps/>
      <w:color w:val="c0504d" w:themeColor="accent2"/>
      <w:u w:val="single"/>
    </w:rPr>
  </w:style>
  <w:style w:type="character" w:styleId="772">
    <w:name w:val="Intense Reference"/>
    <w:basedOn w:val="724"/>
    <w:uiPriority w:val="32"/>
    <w:qFormat/>
    <w:pPr>
      <w:pBdr/>
      <w:spacing/>
      <w:ind/>
    </w:pPr>
    <w:rPr>
      <w:b/>
      <w:bCs/>
      <w:smallCaps/>
      <w:color w:val="c0504d" w:themeColor="accent2"/>
      <w:spacing w:val="5"/>
      <w:u w:val="single"/>
    </w:rPr>
  </w:style>
  <w:style w:type="character" w:styleId="773">
    <w:name w:val="Book Title"/>
    <w:basedOn w:val="724"/>
    <w:uiPriority w:val="33"/>
    <w:qFormat/>
    <w:pPr>
      <w:pBdr/>
      <w:spacing/>
      <w:ind/>
    </w:pPr>
    <w:rPr>
      <w:b/>
      <w:bCs/>
      <w:smallCaps/>
      <w:spacing w:val="5"/>
    </w:rPr>
  </w:style>
  <w:style w:type="paragraph" w:styleId="774">
    <w:name w:val="TOC Heading"/>
    <w:basedOn w:val="715"/>
    <w:next w:val="710"/>
    <w:uiPriority w:val="39"/>
    <w:semiHidden/>
    <w:unhideWhenUsed/>
    <w:qFormat/>
    <w:pPr>
      <w:pBdr/>
      <w:spacing/>
      <w:ind/>
      <w:outlineLvl w:val="9"/>
    </w:pPr>
  </w:style>
  <w:style w:type="table" w:styleId="775">
    <w:name w:val="Table Grid"/>
    <w:basedOn w:val="72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w:basedOn w:val="72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1"/>
    <w:basedOn w:val="72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2"/>
    <w:basedOn w:val="72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3"/>
    <w:basedOn w:val="72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4"/>
    <w:basedOn w:val="72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Shading Accent 5"/>
    <w:basedOn w:val="72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Shading Accent 6"/>
    <w:basedOn w:val="72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1"/>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2"/>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3"/>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4"/>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List Accent 5"/>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List Accent 6"/>
    <w:basedOn w:val="72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1"/>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2"/>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3"/>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4"/>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Grid Accent 5"/>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Grid Accent 6"/>
    <w:basedOn w:val="72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1"/>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2"/>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3"/>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4"/>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1 Accent 5"/>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1 Accent 6"/>
    <w:basedOn w:val="72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1"/>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2"/>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3"/>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4"/>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2 Accent 5"/>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2 Accent 6"/>
    <w:basedOn w:val="72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1"/>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2"/>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3"/>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4"/>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1 Accent 5"/>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1 Accent 6"/>
    <w:basedOn w:val="72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1"/>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2"/>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3"/>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4"/>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2 Accent 5"/>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2 Accent 6"/>
    <w:basedOn w:val="72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1"/>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2"/>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3"/>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4"/>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1 Accent 5"/>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1 Accent 6"/>
    <w:basedOn w:val="72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1"/>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2"/>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3"/>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4"/>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2 Accent 5"/>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2 Accent 6"/>
    <w:basedOn w:val="72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1"/>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2"/>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3"/>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4"/>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3 Accent 5"/>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3 Accent 6"/>
    <w:basedOn w:val="72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1"/>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2"/>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3"/>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4"/>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Dark List Accent 5"/>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Dark List Accent 6"/>
    <w:basedOn w:val="72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1"/>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2"/>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3"/>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4"/>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Shading Accent 5"/>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Shading Accent 6"/>
    <w:basedOn w:val="72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1"/>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2"/>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3"/>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4"/>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List Accent 5"/>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List Accent 6"/>
    <w:basedOn w:val="72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1"/>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2"/>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3"/>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4"/>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Grid Accent 5"/>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Grid Accent 6"/>
    <w:basedOn w:val="72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4" w:customStyle="1">
    <w:name w:val="Executive Summary"/>
    <w:pPr>
      <w:pBdr/>
      <w:spacing w:after="80"/>
      <w:ind/>
    </w:pPr>
    <w:rPr>
      <w:rFonts w:ascii="Arial" w:hAnsi="Arial" w:eastAsia="Arial"/>
      <w:b w:val="0"/>
      <w:i w:val="0"/>
      <w:color w:val="1f2933"/>
      <w:sz w:val="22"/>
    </w:rPr>
  </w:style>
  <w:style w:type="paragraph" w:styleId="875" w:customStyle="1">
    <w:name w:val="Policy Statement"/>
    <w:pPr>
      <w:pBdr/>
      <w:spacing w:after="80"/>
      <w:ind/>
    </w:pPr>
    <w:rPr>
      <w:rFonts w:ascii="Arial" w:hAnsi="Arial" w:eastAsia="Arial"/>
      <w:b w:val="0"/>
      <w:i w:val="0"/>
      <w:color w:val="1f2933"/>
      <w:sz w:val="20"/>
    </w:rPr>
  </w:style>
  <w:style w:type="paragraph" w:styleId="876" w:customStyle="1">
    <w:name w:val="Small Note"/>
    <w:pPr>
      <w:pBdr/>
      <w:spacing w:after="80"/>
      <w:ind/>
    </w:pPr>
    <w:rPr>
      <w:rFonts w:ascii="Arial" w:hAnsi="Arial" w:eastAsia="Arial"/>
      <w:b w:val="0"/>
      <w:i/>
      <w:color w:val="5b6573"/>
      <w:sz w:val="17"/>
    </w:rPr>
  </w:style>
  <w:style w:type="paragraph" w:styleId="877" w:customStyle="1">
    <w:name w:val="Callout"/>
    <w:pPr>
      <w:pBdr/>
      <w:spacing w:after="80"/>
      <w:ind/>
    </w:pPr>
    <w:rPr>
      <w:rFonts w:ascii="Arial" w:hAnsi="Arial" w:eastAsia="Arial"/>
      <w:b w:val="0"/>
      <w:i w:val="0"/>
      <w:color w:val="17365d"/>
      <w:sz w:val="21"/>
    </w:rPr>
  </w:style>
  <w:style w:type="paragraph" w:styleId="878" w:customStyle="1">
    <w:name w:val="Table Text"/>
    <w:pPr>
      <w:pBdr/>
      <w:spacing w:after="80"/>
      <w:ind/>
    </w:pPr>
    <w:rPr>
      <w:rFonts w:ascii="Arial" w:hAnsi="Arial" w:eastAsia="Arial"/>
      <w:b w:val="0"/>
      <w:i w:val="0"/>
      <w:color w:val="1f2933"/>
      <w:sz w:val="17"/>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doi.org/10.6028/NIST.CSWP.29" TargetMode="External"/><Relationship Id="rId15" Type="http://schemas.openxmlformats.org/officeDocument/2006/relationships/hyperlink" Target="https://doi.org/10.6028/NIST.SP.1300" TargetMode="External"/><Relationship Id="rId16" Type="http://schemas.openxmlformats.org/officeDocument/2006/relationships/hyperlink" Target="https://doi.org/10.6028/NIST.SP.800-61r3" TargetMode="External"/><Relationship Id="rId17" Type="http://schemas.openxmlformats.org/officeDocument/2006/relationships/hyperlink" Target="https://www.cisa.gov/cyber-guidance-small-businesses" TargetMode="External"/><Relationship Id="rId18" Type="http://schemas.openxmlformats.org/officeDocument/2006/relationships/hyperlink" Target="https://www.cisa.gov/resources-tools/resources/cyber-essentials" TargetMode="External"/><Relationship Id="rId19" Type="http://schemas.openxmlformats.org/officeDocument/2006/relationships/hyperlink" Target="https://www.ftc.gov/business-guidance/resources/data-breach-response-guide-business" TargetMode="External"/><Relationship Id="rId20" Type="http://schemas.openxmlformats.org/officeDocument/2006/relationships/hyperlink" Target="https://www.ftc.gov/business-guidance/resources/protecting-personal-information-guide-business"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Policies and Incident Response Plan for a Small Business</dc:title>
  <dc:subject>Internship Project Report</dc:subject>
  <dc:creator>Amitoj Seehra</dc:creator>
  <cp:keywords>cybersecurity, small business, incident response, policy, NIST CSF 2.0</cp:keywords>
  <dc:description>Educational template; customize before operational use.</dc:description>
  <cp:revision>2</cp:revision>
  <dcterms:created xsi:type="dcterms:W3CDTF">2013-12-23T23:15:00Z</dcterms:created>
  <dcterms:modified xsi:type="dcterms:W3CDTF">2026-07-16T20:02:29Z</dcterms:modified>
  <cp:category/>
</cp:coreProperties>
</file>