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맑은 고딕" w:hAnsi="맑은 고딕" w:eastAsia="맑은 고딕"/>
          <w:b/>
          <w:color w:val="1F3864"/>
          <w:sz w:val="36"/>
        </w:rPr>
        <w:t>검토·감사 보고서</w:t>
      </w:r>
    </w:p>
    <w:p>
      <w:pPr>
        <w:spacing w:after="40" w:before="0"/>
        <w:jc w:val="center"/>
      </w:pPr>
      <w:r>
        <w:rPr>
          <w:rFonts w:ascii="맑은 고딕" w:hAnsi="맑은 고딕" w:eastAsia="맑은 고딕"/>
          <w:b/>
          <w:color w:val="1F3864"/>
          <w:sz w:val="22"/>
        </w:rPr>
        <w:t>부산은행 모바일뱅킹 경쟁력 강화 조사 설문지(교수님 피드백 반영 수정본)</w:t>
      </w:r>
    </w:p>
    <w:p>
      <w:pPr>
        <w:spacing w:after="160" w:before="0"/>
        <w:jc w:val="center"/>
      </w:pPr>
      <w:r>
        <w:rPr>
          <w:rFonts w:ascii="맑은 고딕" w:hAnsi="맑은 고딕" w:eastAsia="맑은 고딕"/>
          <w:b w:val="0"/>
          <w:color w:val="555555"/>
          <w:sz w:val="18"/>
        </w:rPr>
        <w:t>글로벌시장조사론 1조 | 감사 대상: 조사영역과 설문지 수정본(.docx, 15쪽) | 기준: 10월 27일자 검토본의 교수님 피드백 4건 | 작성일: 2026년 10월 29일</w:t>
      </w:r>
    </w:p>
    <w:p>
      <w:pPr>
        <w:keepNext/>
        <w:pBdr>
          <w:bottom w:val="single" w:sz="6" w:space="2" w:color="1F3864"/>
        </w:pBdr>
        <w:spacing w:after="80" w:before="200"/>
      </w:pPr>
      <w:r>
        <w:rPr>
          <w:rFonts w:ascii="맑은 고딕" w:hAnsi="맑은 고딕" w:eastAsia="맑은 고딕"/>
          <w:b/>
          <w:color w:val="1F3864"/>
          <w:sz w:val="24"/>
        </w:rPr>
        <w:t>1. 감사 결론</w:t>
      </w:r>
    </w:p>
    <w:p>
      <w:pPr>
        <w:pStyle w:val="ListBullet"/>
        <w:spacing w:after="40"/>
      </w:pPr>
      <w:r>
        <w:rPr>
          <w:rFonts w:ascii="맑은 고딕" w:hAnsi="맑은 고딕" w:eastAsia="맑은 고딕"/>
          <w:b/>
          <w:sz w:val="20"/>
        </w:rPr>
        <w:t xml:space="preserve">피드백 4건 모두 적극 반영: </w:t>
      </w:r>
      <w:r>
        <w:rPr>
          <w:rFonts w:ascii="맑은 고딕" w:hAnsi="맑은 고딕" w:eastAsia="맑은 고딕"/>
          <w:b w:val="0"/>
          <w:sz w:val="20"/>
        </w:rPr>
        <w:t>지적된 문항만 고친 것이 아니라 같은 원칙을 설문 전체에 적용하였다. 안내 문구는 31개 문항에서 통일했고, 해결방안 연결 문항은 문제점 문항 3개 모두에 붙였다. 범주가 맞지 않던 문항은 2개를 옮겼고, 프로모션은 문항 7개와 시행안 3종으로 구성하였다.</w:t>
      </w:r>
    </w:p>
    <w:p>
      <w:pPr>
        <w:pStyle w:val="ListBullet"/>
        <w:spacing w:after="40"/>
      </w:pPr>
      <w:r>
        <w:rPr>
          <w:rFonts w:ascii="맑은 고딕" w:hAnsi="맑은 고딕" w:eastAsia="맑은 고딕"/>
          <w:b/>
          <w:sz w:val="20"/>
        </w:rPr>
        <w:t xml:space="preserve">구조 점검 통과: </w:t>
      </w:r>
      <w:r>
        <w:rPr>
          <w:rFonts w:ascii="맑은 고딕" w:hAnsi="맑은 고딕" w:eastAsia="맑은 고딕"/>
          <w:b w:val="0"/>
          <w:sz w:val="20"/>
        </w:rPr>
        <w:t>문항 번호, 문항 간 참조, 보기 번호, '○번' 안내, 순위 칸 수, 표 안의 보기 인용 17건을 스크립트로 전수 점검한 결과 결함이 없었다. 빨간색 피드백 문구는 모두 삭제되었고 Word 문서 유효성 검사도 통과하였다.</w:t>
      </w:r>
    </w:p>
    <w:p>
      <w:pPr>
        <w:pStyle w:val="ListBullet"/>
        <w:spacing w:after="40"/>
      </w:pPr>
      <w:r>
        <w:rPr>
          <w:rFonts w:ascii="맑은 고딕" w:hAnsi="맑은 고딕" w:eastAsia="맑은 고딕"/>
          <w:b/>
          <w:sz w:val="20"/>
        </w:rPr>
        <w:t xml:space="preserve">독립 감사 지적 모두 반영: </w:t>
      </w:r>
      <w:r>
        <w:rPr>
          <w:rFonts w:ascii="맑은 고딕" w:hAnsi="맑은 고딕" w:eastAsia="맑은 고딕"/>
          <w:b w:val="0"/>
          <w:sz w:val="20"/>
        </w:rPr>
        <w:t>수정 작업에 참여하지 않은 검토자가 세 차례 감사하였다. 결함(BLOCKING)과 다듬을 점(MINOR)을 모두 수정본에 반영했고, 내역은 6장에 정리하였다.</w:t>
      </w:r>
    </w:p>
    <w:p>
      <w:pPr>
        <w:pStyle w:val="ListBullet"/>
        <w:spacing w:after="40"/>
      </w:pPr>
      <w:r>
        <w:rPr>
          <w:rFonts w:ascii="맑은 고딕" w:hAnsi="맑은 고딕" w:eastAsia="맑은 고딕"/>
          <w:b/>
          <w:sz w:val="20"/>
        </w:rPr>
        <w:t xml:space="preserve">제출 전 팀 확인 필요: </w:t>
      </w:r>
      <w:r>
        <w:rPr>
          <w:rFonts w:ascii="맑은 고딕" w:hAnsi="맑은 고딕" w:eastAsia="맑은 고딕"/>
          <w:b w:val="0"/>
          <w:sz w:val="20"/>
        </w:rPr>
        <w:t>프로모션 금액은 설문용 가정값이다. 일부 사실(동백전 운영대행의 2025년 4월 이후 계약, 이체 수수료 면제의 현재 유지 여부)은 최신 공지로 다시 확인해야 한다. 8장을 보고 제출본을 확정하기 바란다.</w:t>
      </w:r>
    </w:p>
    <w:p>
      <w:pPr>
        <w:keepNext/>
        <w:pBdr>
          <w:bottom w:val="single" w:sz="6" w:space="2" w:color="1F3864"/>
        </w:pBdr>
        <w:spacing w:after="80" w:before="200"/>
      </w:pPr>
      <w:r>
        <w:rPr>
          <w:rFonts w:ascii="맑은 고딕" w:hAnsi="맑은 고딕" w:eastAsia="맑은 고딕"/>
          <w:b/>
          <w:color w:val="1F3864"/>
          <w:sz w:val="24"/>
        </w:rPr>
        <w:t>2. 감사 범위와 방법</w:t>
      </w:r>
    </w:p>
    <w:tbl>
      <w:tblPr>
        <w:tblStyle w:val="TableGrid"/>
        <w:tblW w:type="dxa" w:w="9638"/>
        <w:jc w:val="center"/>
        <w:tblLayout w:type="fixed"/>
        <w:tblLook w:firstColumn="1" w:firstRow="1" w:lastColumn="0" w:lastRow="0" w:noHBand="0" w:noVBand="1" w:val="04A0"/>
      </w:tblPr>
      <w:tblGrid>
        <w:gridCol w:w="1814"/>
        <w:gridCol w:w="7824"/>
      </w:tblGrid>
      <w:tr>
        <w:trPr>
          <w:cantSplit/>
          <w:tblHeader/>
        </w:trPr>
        <w:tc>
          <w:tcPr>
            <w:tcW w:type="dxa" w:w="1814"/>
            <w:shd w:val="clear" w:color="auto" w:fill="E8EEF7"/>
          </w:tcPr>
          <w:p>
            <w:pPr>
              <w:spacing w:after="0"/>
            </w:pPr>
            <w:r/>
            <w:r>
              <w:rPr>
                <w:rFonts w:ascii="맑은 고딕" w:hAnsi="맑은 고딕" w:eastAsia="맑은 고딕"/>
                <w:b/>
                <w:sz w:val="18"/>
              </w:rPr>
              <w:t>구분</w:t>
            </w:r>
          </w:p>
        </w:tc>
        <w:tc>
          <w:tcPr>
            <w:tcW w:type="dxa" w:w="7824"/>
            <w:shd w:val="clear" w:color="auto" w:fill="E8EEF7"/>
          </w:tcPr>
          <w:p>
            <w:pPr>
              <w:spacing w:after="0"/>
            </w:pPr>
            <w:r/>
            <w:r>
              <w:rPr>
                <w:rFonts w:ascii="맑은 고딕" w:hAnsi="맑은 고딕" w:eastAsia="맑은 고딕"/>
                <w:b/>
                <w:sz w:val="18"/>
              </w:rPr>
              <w:t>내용</w:t>
            </w:r>
          </w:p>
        </w:tc>
      </w:tr>
      <w:tr>
        <w:trPr>
          <w:cantSplit/>
        </w:trPr>
        <w:tc>
          <w:tcPr>
            <w:tcW w:type="dxa" w:w="1814"/>
          </w:tcPr>
          <w:p>
            <w:pPr>
              <w:spacing w:after="0"/>
            </w:pPr>
            <w:r/>
            <w:r>
              <w:rPr>
                <w:rFonts w:ascii="맑은 고딕" w:hAnsi="맑은 고딕" w:eastAsia="맑은 고딕"/>
                <w:b w:val="0"/>
                <w:sz w:val="18"/>
              </w:rPr>
              <w:t>감사 대상</w:t>
            </w:r>
          </w:p>
        </w:tc>
        <w:tc>
          <w:tcPr>
            <w:tcW w:type="dxa" w:w="7824"/>
          </w:tcPr>
          <w:p>
            <w:pPr>
              <w:spacing w:after="0"/>
            </w:pPr>
            <w:r/>
            <w:r>
              <w:rPr>
                <w:rFonts w:ascii="맑은 고딕" w:hAnsi="맑은 고딕" w:eastAsia="맑은 고딕"/>
                <w:b w:val="0"/>
                <w:sz w:val="18"/>
              </w:rPr>
              <w:t>조사영역과 설문지 수정본 15쪽(1. 조사 개요, 2. 조사영역표, 3. 프로모션 설계 근거, 4. 묶음 프로모션 제안, 5. 고객 여정 단계별 성과 측정, 설문지 41문항, 부록)</w:t>
            </w:r>
          </w:p>
        </w:tc>
      </w:tr>
      <w:tr>
        <w:trPr>
          <w:cantSplit/>
        </w:trPr>
        <w:tc>
          <w:tcPr>
            <w:tcW w:type="dxa" w:w="1814"/>
          </w:tcPr>
          <w:p>
            <w:pPr>
              <w:spacing w:after="0"/>
            </w:pPr>
            <w:r/>
            <w:r>
              <w:rPr>
                <w:rFonts w:ascii="맑은 고딕" w:hAnsi="맑은 고딕" w:eastAsia="맑은 고딕"/>
                <w:b w:val="0"/>
                <w:sz w:val="18"/>
              </w:rPr>
              <w:t>감사 기준</w:t>
            </w:r>
          </w:p>
        </w:tc>
        <w:tc>
          <w:tcPr>
            <w:tcW w:type="dxa" w:w="7824"/>
          </w:tcPr>
          <w:p>
            <w:pPr>
              <w:spacing w:after="0"/>
            </w:pPr>
            <w:r/>
            <w:r>
              <w:rPr>
                <w:rFonts w:ascii="맑은 고딕" w:hAnsi="맑은 고딕" w:eastAsia="맑은 고딕"/>
                <w:b w:val="0"/>
                <w:sz w:val="18"/>
              </w:rPr>
              <w:t>교수님 피드백 4건, 원본 설문지의 작성 원칙(연결 문항은 참조 문항 바로 아래 배치, 순위 문항 기입 방법), 설문 작성 일반 원칙(한 보기에 한 개념, 상호배타·포괄적 보기, 유도 질문 배제, 가정형 질문 최소화)</w:t>
            </w:r>
          </w:p>
        </w:tc>
      </w:tr>
      <w:tr>
        <w:trPr>
          <w:cantSplit/>
        </w:trPr>
        <w:tc>
          <w:tcPr>
            <w:tcW w:type="dxa" w:w="1814"/>
          </w:tcPr>
          <w:p>
            <w:pPr>
              <w:spacing w:after="0"/>
            </w:pPr>
            <w:r/>
            <w:r>
              <w:rPr>
                <w:rFonts w:ascii="맑은 고딕" w:hAnsi="맑은 고딕" w:eastAsia="맑은 고딕"/>
                <w:b w:val="0"/>
                <w:sz w:val="18"/>
              </w:rPr>
              <w:t>방법 ① 자동 점검</w:t>
            </w:r>
          </w:p>
        </w:tc>
        <w:tc>
          <w:tcPr>
            <w:tcW w:type="dxa" w:w="7824"/>
          </w:tcPr>
          <w:p>
            <w:pPr>
              <w:spacing w:after="0"/>
            </w:pPr>
            <w:r/>
            <w:r>
              <w:rPr>
                <w:rFonts w:ascii="맑은 고딕" w:hAnsi="맑은 고딕" w:eastAsia="맑은 고딕"/>
                <w:b w:val="0"/>
                <w:sz w:val="18"/>
              </w:rPr>
              <w:t>문서 구조를 읽는 스크립트로 문항 번호, 문항 간 참조, 보기 번호의 연속성, '○번' 안내와 실제 보기의 일치, 순위 칸 수, 표 안의 보기 인용을 전수 점검</w:t>
            </w:r>
          </w:p>
        </w:tc>
      </w:tr>
      <w:tr>
        <w:trPr>
          <w:cantSplit/>
        </w:trPr>
        <w:tc>
          <w:tcPr>
            <w:tcW w:type="dxa" w:w="1814"/>
          </w:tcPr>
          <w:p>
            <w:pPr>
              <w:spacing w:after="0"/>
            </w:pPr>
            <w:r/>
            <w:r>
              <w:rPr>
                <w:rFonts w:ascii="맑은 고딕" w:hAnsi="맑은 고딕" w:eastAsia="맑은 고딕"/>
                <w:b w:val="0"/>
                <w:sz w:val="18"/>
              </w:rPr>
              <w:t>방법 ② 독립 감사</w:t>
            </w:r>
          </w:p>
        </w:tc>
        <w:tc>
          <w:tcPr>
            <w:tcW w:type="dxa" w:w="7824"/>
          </w:tcPr>
          <w:p>
            <w:pPr>
              <w:spacing w:after="0"/>
            </w:pPr>
            <w:r/>
            <w:r>
              <w:rPr>
                <w:rFonts w:ascii="맑은 고딕" w:hAnsi="맑은 고딕" w:eastAsia="맑은 고딕"/>
                <w:b w:val="0"/>
                <w:sz w:val="18"/>
              </w:rPr>
              <w:t>수정 작업에 참여하지 않은 검토자가 원본과 수정본을 대조하여 피드백 반영 여부, 응답 경로, 문항 품질, 사실 근거를 감사(1차·2차는 중간본, 3차는 최종본)</w:t>
            </w:r>
          </w:p>
        </w:tc>
      </w:tr>
      <w:tr>
        <w:trPr>
          <w:cantSplit/>
        </w:trPr>
        <w:tc>
          <w:tcPr>
            <w:tcW w:type="dxa" w:w="1814"/>
          </w:tcPr>
          <w:p>
            <w:pPr>
              <w:spacing w:after="0"/>
            </w:pPr>
            <w:r/>
            <w:r>
              <w:rPr>
                <w:rFonts w:ascii="맑은 고딕" w:hAnsi="맑은 고딕" w:eastAsia="맑은 고딕"/>
                <w:b w:val="0"/>
                <w:sz w:val="18"/>
              </w:rPr>
              <w:t>방법 ③ 서식 확인</w:t>
            </w:r>
          </w:p>
        </w:tc>
        <w:tc>
          <w:tcPr>
            <w:tcW w:type="dxa" w:w="7824"/>
          </w:tcPr>
          <w:p>
            <w:pPr>
              <w:spacing w:after="0"/>
            </w:pPr>
            <w:r/>
            <w:r>
              <w:rPr>
                <w:rFonts w:ascii="맑은 고딕" w:hAnsi="맑은 고딕" w:eastAsia="맑은 고딕"/>
                <w:b w:val="0"/>
                <w:sz w:val="18"/>
              </w:rPr>
              <w:t>Word 문서 유효성(XSD) 검사, PDF 변환 후 15쪽을 쪽마다 눈으로 확인</w:t>
            </w:r>
          </w:p>
        </w:tc>
      </w:tr>
      <w:tr>
        <w:trPr>
          <w:cantSplit/>
        </w:trPr>
        <w:tc>
          <w:tcPr>
            <w:tcW w:type="dxa" w:w="1814"/>
          </w:tcPr>
          <w:p>
            <w:pPr>
              <w:spacing w:after="0"/>
            </w:pPr>
            <w:r/>
            <w:r>
              <w:rPr>
                <w:rFonts w:ascii="맑은 고딕" w:hAnsi="맑은 고딕" w:eastAsia="맑은 고딕"/>
                <w:b w:val="0"/>
                <w:sz w:val="18"/>
              </w:rPr>
              <w:t>방법 ④ 사실 확인</w:t>
            </w:r>
          </w:p>
        </w:tc>
        <w:tc>
          <w:tcPr>
            <w:tcW w:type="dxa" w:w="7824"/>
          </w:tcPr>
          <w:p>
            <w:pPr>
              <w:spacing w:after="0"/>
            </w:pPr>
            <w:r/>
            <w:r>
              <w:rPr>
                <w:rFonts w:ascii="맑은 고딕" w:hAnsi="맑은 고딕" w:eastAsia="맑은 고딕"/>
                <w:b w:val="0"/>
                <w:sz w:val="18"/>
              </w:rPr>
              <w:t>프로모션 근거에 쓴 부산은행·동백전·동백패스·토스 관련 서술을 언론 보도와 공식 자료로 확인</w:t>
            </w:r>
          </w:p>
        </w:tc>
      </w:tr>
    </w:tbl>
    <w:p>
      <w:pPr>
        <w:spacing w:after="40" w:before="0"/>
      </w:pPr>
    </w:p>
    <w:p>
      <w:pPr>
        <w:keepNext/>
        <w:pBdr>
          <w:bottom w:val="single" w:sz="6" w:space="2" w:color="1F3864"/>
        </w:pBdr>
        <w:spacing w:after="80" w:before="200"/>
      </w:pPr>
      <w:r>
        <w:rPr>
          <w:rFonts w:ascii="맑은 고딕" w:hAnsi="맑은 고딕" w:eastAsia="맑은 고딕"/>
          <w:b/>
          <w:color w:val="1F3864"/>
          <w:sz w:val="24"/>
        </w:rPr>
        <w:t>3. 교수님 피드백 반영 감사</w:t>
      </w:r>
    </w:p>
    <w:tbl>
      <w:tblPr>
        <w:tblStyle w:val="TableGrid"/>
        <w:tblW w:type="dxa" w:w="9638"/>
        <w:jc w:val="center"/>
        <w:tblLayout w:type="fixed"/>
        <w:tblLook w:firstColumn="1" w:firstRow="1" w:lastColumn="0" w:lastRow="0" w:noHBand="0" w:noVBand="1" w:val="04A0"/>
      </w:tblPr>
      <w:tblGrid>
        <w:gridCol w:w="2608"/>
        <w:gridCol w:w="5670"/>
        <w:gridCol w:w="1360"/>
      </w:tblGrid>
      <w:tr>
        <w:trPr>
          <w:cantSplit/>
          <w:tblHeader/>
        </w:trPr>
        <w:tc>
          <w:tcPr>
            <w:tcW w:type="dxa" w:w="2608"/>
            <w:shd w:val="clear" w:color="auto" w:fill="E8EEF7"/>
          </w:tcPr>
          <w:p>
            <w:pPr>
              <w:spacing w:after="0"/>
            </w:pPr>
            <w:r/>
            <w:r>
              <w:rPr>
                <w:rFonts w:ascii="맑은 고딕" w:hAnsi="맑은 고딕" w:eastAsia="맑은 고딕"/>
                <w:b/>
                <w:sz w:val="18"/>
              </w:rPr>
              <w:t>피드백</w:t>
            </w:r>
          </w:p>
        </w:tc>
        <w:tc>
          <w:tcPr>
            <w:tcW w:type="dxa" w:w="5670"/>
            <w:shd w:val="clear" w:color="auto" w:fill="E8EEF7"/>
          </w:tcPr>
          <w:p>
            <w:pPr>
              <w:spacing w:after="0"/>
            </w:pPr>
            <w:r/>
            <w:r>
              <w:rPr>
                <w:rFonts w:ascii="맑은 고딕" w:hAnsi="맑은 고딕" w:eastAsia="맑은 고딕"/>
                <w:b/>
                <w:sz w:val="18"/>
              </w:rPr>
              <w:t>반영 내용(수정본 기준)</w:t>
            </w:r>
          </w:p>
        </w:tc>
        <w:tc>
          <w:tcPr>
            <w:tcW w:type="dxa" w:w="1360"/>
            <w:shd w:val="clear" w:color="auto" w:fill="E8EEF7"/>
          </w:tcPr>
          <w:p>
            <w:pPr>
              <w:spacing w:after="0"/>
            </w:pPr>
            <w:r/>
            <w:r>
              <w:rPr>
                <w:rFonts w:ascii="맑은 고딕" w:hAnsi="맑은 고딕" w:eastAsia="맑은 고딕"/>
                <w:b/>
                <w:sz w:val="18"/>
              </w:rPr>
              <w:t>판정</w:t>
            </w:r>
          </w:p>
        </w:tc>
      </w:tr>
      <w:tr>
        <w:trPr>
          <w:cantSplit/>
        </w:trPr>
        <w:tc>
          <w:tcPr>
            <w:tcW w:type="dxa" w:w="2608"/>
          </w:tcPr>
          <w:p>
            <w:pPr>
              <w:spacing w:after="0"/>
            </w:pPr>
            <w:r/>
            <w:r>
              <w:rPr>
                <w:rFonts w:ascii="맑은 고딕" w:hAnsi="맑은 고딕" w:eastAsia="맑은 고딕"/>
                <w:b w:val="0"/>
                <w:sz w:val="18"/>
              </w:rPr>
              <w:t>① 원본 문5: "1순위에 ⑭번을 선택하시면 됩니다 — 이하 모두 동일하게 수정할 것"</w:t>
            </w:r>
          </w:p>
        </w:tc>
        <w:tc>
          <w:tcPr>
            <w:tcW w:type="dxa" w:w="5670"/>
          </w:tcPr>
          <w:p>
            <w:pPr>
              <w:spacing w:after="0"/>
            </w:pPr>
            <w:r/>
            <w:r>
              <w:rPr>
                <w:rFonts w:ascii="맑은 고딕" w:hAnsi="맑은 고딕" w:eastAsia="맑은 고딕"/>
                <w:b w:val="0"/>
                <w:sz w:val="18"/>
              </w:rPr>
              <w:t>'없음·해당 없음·비교하기 어려움·잘 모르겠음·기억나지 않음·응답하지 않음' 보기가 있는 31개 문항 모두에 같은 형식의 안내를 넣었다. 순위 문항은 "…면 1순위에 ○번을 선택하시면 됩니다", 단일 선택 문항은 "…면 ○번을 선택하시면 됩니다"이다. 이동 안내도 "…으로 이동해 주세요"로 통일하였다.</w:t>
            </w:r>
          </w:p>
        </w:tc>
        <w:tc>
          <w:tcPr>
            <w:tcW w:type="dxa" w:w="1360"/>
          </w:tcPr>
          <w:p>
            <w:pPr>
              <w:spacing w:after="0"/>
            </w:pPr>
            <w:r/>
            <w:r>
              <w:rPr>
                <w:rFonts w:ascii="맑은 고딕" w:hAnsi="맑은 고딕" w:eastAsia="맑은 고딕"/>
                <w:b/>
                <w:color w:val="1E7B34"/>
                <w:sz w:val="18"/>
              </w:rPr>
              <w:t>적합</w:t>
            </w:r>
          </w:p>
        </w:tc>
      </w:tr>
      <w:tr>
        <w:trPr>
          <w:cantSplit/>
        </w:trPr>
        <w:tc>
          <w:tcPr>
            <w:tcW w:type="dxa" w:w="2608"/>
          </w:tcPr>
          <w:p>
            <w:pPr>
              <w:spacing w:after="0"/>
            </w:pPr>
            <w:r/>
            <w:r>
              <w:rPr>
                <w:rFonts w:ascii="맑은 고딕" w:hAnsi="맑은 고딕" w:eastAsia="맑은 고딕"/>
                <w:b w:val="0"/>
                <w:sz w:val="18"/>
              </w:rPr>
              <w:t>② 원본 문8-2: "해결방안으로 연결질문 필요 — 대응방안 범주에 적용"</w:t>
            </w:r>
          </w:p>
        </w:tc>
        <w:tc>
          <w:tcPr>
            <w:tcW w:type="dxa" w:w="5670"/>
          </w:tcPr>
          <w:p>
            <w:pPr>
              <w:spacing w:after="0"/>
            </w:pPr>
            <w:r/>
            <w:r>
              <w:rPr>
                <w:rFonts w:ascii="맑은 고딕" w:hAnsi="맑은 고딕" w:eastAsia="맑은 고딕"/>
                <w:b w:val="0"/>
                <w:sz w:val="18"/>
              </w:rPr>
              <w:t>지적된 불편 경험(현 문9)뿐 아니라 Ⅲ 영역의 문제점 문항 3개 모두에 해결방안 연결 문항을 붙였다. 문9-1은 불편에서 해결방안으로, 문10-1은 미이용 이유에서 이용 유도 방안으로, 문11-1은 걸림돌에서 해소 방안으로 연결된다. 보기 번호가 앞 문항의 문제 번호와 1:1로 대응하고, 조사영역표에는 '7 대응방안'으로 표기하였다.</w:t>
            </w:r>
          </w:p>
        </w:tc>
        <w:tc>
          <w:tcPr>
            <w:tcW w:type="dxa" w:w="1360"/>
          </w:tcPr>
          <w:p>
            <w:pPr>
              <w:spacing w:after="0"/>
            </w:pPr>
            <w:r/>
            <w:r>
              <w:rPr>
                <w:rFonts w:ascii="맑은 고딕" w:hAnsi="맑은 고딕" w:eastAsia="맑은 고딕"/>
                <w:b/>
                <w:color w:val="1E7B34"/>
                <w:sz w:val="18"/>
              </w:rPr>
              <w:t>적합</w:t>
            </w:r>
          </w:p>
        </w:tc>
      </w:tr>
      <w:tr>
        <w:trPr>
          <w:cantSplit/>
        </w:trPr>
        <w:tc>
          <w:tcPr>
            <w:tcW w:type="dxa" w:w="2608"/>
          </w:tcPr>
          <w:p>
            <w:pPr>
              <w:spacing w:after="0"/>
            </w:pPr>
            <w:r/>
            <w:r>
              <w:rPr>
                <w:rFonts w:ascii="맑은 고딕" w:hAnsi="맑은 고딕" w:eastAsia="맑은 고딕"/>
                <w:b w:val="0"/>
                <w:sz w:val="18"/>
              </w:rPr>
              <w:t>③ 원본 문17: "개선방안 범주에 적합하지 않음 — 문제점 범주에 들어가야 함"</w:t>
            </w:r>
          </w:p>
        </w:tc>
        <w:tc>
          <w:tcPr>
            <w:tcW w:type="dxa" w:w="5670"/>
          </w:tcPr>
          <w:p>
            <w:pPr>
              <w:spacing w:after="0"/>
            </w:pPr>
            <w:r/>
            <w:r>
              <w:rPr>
                <w:rFonts w:ascii="맑은 고딕" w:hAnsi="맑은 고딕" w:eastAsia="맑은 고딕"/>
                <w:b w:val="0"/>
                <w:sz w:val="18"/>
              </w:rPr>
              <w:t>'Ⅲ 이용 문제점과 대응방안' 영역을 신설하고 걸림돌 문항을 문11로 옮겼다. 같은 기준으로 범주가 맞지 않던 계좌 업무 경로 문항은 이용 경로 문항인 문4 아래(문4-1)로, 앱 변경 문항은 경쟁 앱 비교 영역(문12)으로 옮겼다.</w:t>
            </w:r>
          </w:p>
        </w:tc>
        <w:tc>
          <w:tcPr>
            <w:tcW w:type="dxa" w:w="1360"/>
          </w:tcPr>
          <w:p>
            <w:pPr>
              <w:spacing w:after="0"/>
            </w:pPr>
            <w:r/>
            <w:r>
              <w:rPr>
                <w:rFonts w:ascii="맑은 고딕" w:hAnsi="맑은 고딕" w:eastAsia="맑은 고딕"/>
                <w:b/>
                <w:color w:val="1E7B34"/>
                <w:sz w:val="18"/>
              </w:rPr>
              <w:t>적합</w:t>
            </w:r>
          </w:p>
        </w:tc>
      </w:tr>
      <w:tr>
        <w:trPr>
          <w:cantSplit/>
        </w:trPr>
        <w:tc>
          <w:tcPr>
            <w:tcW w:type="dxa" w:w="2608"/>
          </w:tcPr>
          <w:p>
            <w:pPr>
              <w:spacing w:after="0"/>
            </w:pPr>
            <w:r/>
            <w:r>
              <w:rPr>
                <w:rFonts w:ascii="맑은 고딕" w:hAnsi="맑은 고딕" w:eastAsia="맑은 고딕"/>
                <w:b w:val="0"/>
                <w:sz w:val="18"/>
              </w:rPr>
              <w:t>④ "구체적 프로모션 방안을 개선방안 범주에 문항으로 추가할 것"</w:t>
            </w:r>
          </w:p>
        </w:tc>
        <w:tc>
          <w:tcPr>
            <w:tcW w:type="dxa" w:w="5670"/>
          </w:tcPr>
          <w:p>
            <w:pPr>
              <w:spacing w:after="0"/>
            </w:pPr>
            <w:r/>
            <w:r>
              <w:rPr>
                <w:rFonts w:ascii="맑은 고딕" w:hAnsi="맑은 고딕" w:eastAsia="맑은 고딕"/>
                <w:b w:val="0"/>
                <w:sz w:val="18"/>
              </w:rPr>
              <w:t>Ⅴ 영역에 문항 7개(문18~20-3)를 신설하였다. 문항은 가입을 결정하는 최소 현금 혜택, 금액·한도를 정한 프로모션 12개의 선호 순위, 참여 조건 수용도, 대상별 묶음 3종 선택, 가입 의향 5점 척도, 지속 이용 조건, 친구 추천 의향을 묻는다. 앞부분에는 설계 근거, 비용 통제 장치를 갖춘 묶음 시행안, 고객 여정 단계별 성과 지표를 제시하였다.</w:t>
            </w:r>
          </w:p>
        </w:tc>
        <w:tc>
          <w:tcPr>
            <w:tcW w:type="dxa" w:w="1360"/>
          </w:tcPr>
          <w:p>
            <w:pPr>
              <w:spacing w:after="0"/>
            </w:pPr>
            <w:r/>
            <w:r>
              <w:rPr>
                <w:rFonts w:ascii="맑은 고딕" w:hAnsi="맑은 고딕" w:eastAsia="맑은 고딕"/>
                <w:b/>
                <w:color w:val="1E7B34"/>
                <w:sz w:val="18"/>
              </w:rPr>
              <w:t>적합</w:t>
            </w:r>
          </w:p>
        </w:tc>
      </w:tr>
    </w:tbl>
    <w:p>
      <w:pPr>
        <w:spacing w:after="40" w:before="0"/>
      </w:pPr>
    </w:p>
    <w:p>
      <w:pPr>
        <w:keepNext/>
        <w:pBdr>
          <w:bottom w:val="single" w:sz="6" w:space="2" w:color="1F3864"/>
        </w:pBdr>
        <w:spacing w:after="80" w:before="200"/>
      </w:pPr>
      <w:r>
        <w:rPr>
          <w:rFonts w:ascii="맑은 고딕" w:hAnsi="맑은 고딕" w:eastAsia="맑은 고딕"/>
          <w:b/>
          <w:color w:val="1F3864"/>
          <w:sz w:val="24"/>
        </w:rPr>
        <w:t>4. 구조·논리 자동 점검 결과</w:t>
      </w:r>
    </w:p>
    <w:tbl>
      <w:tblPr>
        <w:tblStyle w:val="TableGrid"/>
        <w:tblW w:type="dxa" w:w="9638"/>
        <w:jc w:val="center"/>
        <w:tblLayout w:type="fixed"/>
        <w:tblLook w:firstColumn="1" w:firstRow="1" w:lastColumn="0" w:lastRow="0" w:noHBand="0" w:noVBand="1" w:val="04A0"/>
      </w:tblPr>
      <w:tblGrid>
        <w:gridCol w:w="2268"/>
        <w:gridCol w:w="4876"/>
        <w:gridCol w:w="2494"/>
      </w:tblGrid>
      <w:tr>
        <w:trPr>
          <w:cantSplit/>
          <w:tblHeader/>
        </w:trPr>
        <w:tc>
          <w:tcPr>
            <w:tcW w:type="dxa" w:w="2268"/>
            <w:shd w:val="clear" w:color="auto" w:fill="E8EEF7"/>
          </w:tcPr>
          <w:p>
            <w:pPr>
              <w:spacing w:after="0"/>
            </w:pPr>
            <w:r/>
            <w:r>
              <w:rPr>
                <w:rFonts w:ascii="맑은 고딕" w:hAnsi="맑은 고딕" w:eastAsia="맑은 고딕"/>
                <w:b/>
                <w:sz w:val="18"/>
              </w:rPr>
              <w:t>점검 항목</w:t>
            </w:r>
          </w:p>
        </w:tc>
        <w:tc>
          <w:tcPr>
            <w:tcW w:type="dxa" w:w="4876"/>
            <w:shd w:val="clear" w:color="auto" w:fill="E8EEF7"/>
          </w:tcPr>
          <w:p>
            <w:pPr>
              <w:spacing w:after="0"/>
            </w:pPr>
            <w:r/>
            <w:r>
              <w:rPr>
                <w:rFonts w:ascii="맑은 고딕" w:hAnsi="맑은 고딕" w:eastAsia="맑은 고딕"/>
                <w:b/>
                <w:sz w:val="18"/>
              </w:rPr>
              <w:t>기준</w:t>
            </w:r>
          </w:p>
        </w:tc>
        <w:tc>
          <w:tcPr>
            <w:tcW w:type="dxa" w:w="2494"/>
            <w:shd w:val="clear" w:color="auto" w:fill="E8EEF7"/>
          </w:tcPr>
          <w:p>
            <w:pPr>
              <w:spacing w:after="0"/>
            </w:pPr>
            <w:r/>
            <w:r>
              <w:rPr>
                <w:rFonts w:ascii="맑은 고딕" w:hAnsi="맑은 고딕" w:eastAsia="맑은 고딕"/>
                <w:b/>
                <w:sz w:val="18"/>
              </w:rPr>
              <w:t>결과</w:t>
            </w:r>
          </w:p>
        </w:tc>
      </w:tr>
      <w:tr>
        <w:trPr>
          <w:cantSplit/>
        </w:trPr>
        <w:tc>
          <w:tcPr>
            <w:tcW w:type="dxa" w:w="2268"/>
          </w:tcPr>
          <w:p>
            <w:pPr>
              <w:spacing w:after="0"/>
            </w:pPr>
            <w:r/>
            <w:r>
              <w:rPr>
                <w:rFonts w:ascii="맑은 고딕" w:hAnsi="맑은 고딕" w:eastAsia="맑은 고딕"/>
                <w:b w:val="0"/>
                <w:sz w:val="18"/>
              </w:rPr>
              <w:t>빨간색 피드백 문구 잔존</w:t>
            </w:r>
          </w:p>
        </w:tc>
        <w:tc>
          <w:tcPr>
            <w:tcW w:type="dxa" w:w="4876"/>
          </w:tcPr>
          <w:p>
            <w:pPr>
              <w:spacing w:after="0"/>
            </w:pPr>
            <w:r/>
            <w:r>
              <w:rPr>
                <w:rFonts w:ascii="맑은 고딕" w:hAnsi="맑은 고딕" w:eastAsia="맑은 고딕"/>
                <w:b w:val="0"/>
                <w:sz w:val="18"/>
              </w:rPr>
              <w:t>본문·표 전체에서 빨간색 글자 0건</w:t>
            </w:r>
          </w:p>
        </w:tc>
        <w:tc>
          <w:tcPr>
            <w:tcW w:type="dxa" w:w="2494"/>
          </w:tcPr>
          <w:p>
            <w:pPr>
              <w:spacing w:after="0"/>
            </w:pPr>
            <w:r/>
            <w:r>
              <w:rPr>
                <w:rFonts w:ascii="맑은 고딕" w:hAnsi="맑은 고딕" w:eastAsia="맑은 고딕"/>
                <w:b/>
                <w:color w:val="1E7B34"/>
                <w:sz w:val="18"/>
              </w:rPr>
              <w:t>통과(0건)</w:t>
            </w:r>
          </w:p>
        </w:tc>
      </w:tr>
      <w:tr>
        <w:trPr>
          <w:cantSplit/>
        </w:trPr>
        <w:tc>
          <w:tcPr>
            <w:tcW w:type="dxa" w:w="2268"/>
          </w:tcPr>
          <w:p>
            <w:pPr>
              <w:spacing w:after="0"/>
            </w:pPr>
            <w:r/>
            <w:r>
              <w:rPr>
                <w:rFonts w:ascii="맑은 고딕" w:hAnsi="맑은 고딕" w:eastAsia="맑은 고딕"/>
                <w:b w:val="0"/>
                <w:sz w:val="18"/>
              </w:rPr>
              <w:t>문항 수</w:t>
            </w:r>
          </w:p>
        </w:tc>
        <w:tc>
          <w:tcPr>
            <w:tcW w:type="dxa" w:w="4876"/>
          </w:tcPr>
          <w:p>
            <w:pPr>
              <w:spacing w:after="0"/>
            </w:pPr>
            <w:r/>
            <w:r>
              <w:rPr>
                <w:rFonts w:ascii="맑은 고딕" w:hAnsi="맑은 고딕" w:eastAsia="맑은 고딕"/>
                <w:b w:val="0"/>
                <w:sz w:val="18"/>
              </w:rPr>
              <w:t>조사 개요의 '총 41문항(본 문항 35개 + 응답자 확인·일반현황 6개)'과 실제 문항 수 일치</w:t>
            </w:r>
          </w:p>
        </w:tc>
        <w:tc>
          <w:tcPr>
            <w:tcW w:type="dxa" w:w="2494"/>
          </w:tcPr>
          <w:p>
            <w:pPr>
              <w:spacing w:after="0"/>
            </w:pPr>
            <w:r/>
            <w:r>
              <w:rPr>
                <w:rFonts w:ascii="맑은 고딕" w:hAnsi="맑은 고딕" w:eastAsia="맑은 고딕"/>
                <w:b/>
                <w:color w:val="1E7B34"/>
                <w:sz w:val="18"/>
              </w:rPr>
              <w:t>일치(35 + 6 = 41)</w:t>
            </w:r>
          </w:p>
        </w:tc>
      </w:tr>
      <w:tr>
        <w:trPr>
          <w:cantSplit/>
        </w:trPr>
        <w:tc>
          <w:tcPr>
            <w:tcW w:type="dxa" w:w="2268"/>
          </w:tcPr>
          <w:p>
            <w:pPr>
              <w:spacing w:after="0"/>
            </w:pPr>
            <w:r/>
            <w:r>
              <w:rPr>
                <w:rFonts w:ascii="맑은 고딕" w:hAnsi="맑은 고딕" w:eastAsia="맑은 고딕"/>
                <w:b w:val="0"/>
                <w:sz w:val="18"/>
              </w:rPr>
              <w:t>문항 번호</w:t>
            </w:r>
          </w:p>
        </w:tc>
        <w:tc>
          <w:tcPr>
            <w:tcW w:type="dxa" w:w="4876"/>
          </w:tcPr>
          <w:p>
            <w:pPr>
              <w:spacing w:after="0"/>
            </w:pPr>
            <w:r/>
            <w:r>
              <w:rPr>
                <w:rFonts w:ascii="맑은 고딕" w:hAnsi="맑은 고딕" w:eastAsia="맑은 고딕"/>
                <w:b w:val="0"/>
                <w:sz w:val="18"/>
              </w:rPr>
              <w:t>문1~문26(가지 번호 포함)이 빠짐·중복 없이 순서대로 배치</w:t>
            </w:r>
          </w:p>
        </w:tc>
        <w:tc>
          <w:tcPr>
            <w:tcW w:type="dxa" w:w="2494"/>
          </w:tcPr>
          <w:p>
            <w:pPr>
              <w:spacing w:after="0"/>
            </w:pPr>
            <w:r/>
            <w:r>
              <w:rPr>
                <w:rFonts w:ascii="맑은 고딕" w:hAnsi="맑은 고딕" w:eastAsia="맑은 고딕"/>
                <w:b/>
                <w:color w:val="1E7B34"/>
                <w:sz w:val="18"/>
              </w:rPr>
              <w:t>통과</w:t>
            </w:r>
          </w:p>
        </w:tc>
      </w:tr>
      <w:tr>
        <w:trPr>
          <w:cantSplit/>
        </w:trPr>
        <w:tc>
          <w:tcPr>
            <w:tcW w:type="dxa" w:w="2268"/>
          </w:tcPr>
          <w:p>
            <w:pPr>
              <w:spacing w:after="0"/>
            </w:pPr>
            <w:r/>
            <w:r>
              <w:rPr>
                <w:rFonts w:ascii="맑은 고딕" w:hAnsi="맑은 고딕" w:eastAsia="맑은 고딕"/>
                <w:b w:val="0"/>
                <w:sz w:val="18"/>
              </w:rPr>
              <w:t>문항 간 참조</w:t>
            </w:r>
          </w:p>
        </w:tc>
        <w:tc>
          <w:tcPr>
            <w:tcW w:type="dxa" w:w="4876"/>
          </w:tcPr>
          <w:p>
            <w:pPr>
              <w:spacing w:after="0"/>
            </w:pPr>
            <w:r/>
            <w:r>
              <w:rPr>
                <w:rFonts w:ascii="맑은 고딕" w:hAnsi="맑은 고딕" w:eastAsia="맑은 고딕"/>
                <w:b w:val="0"/>
                <w:sz w:val="18"/>
              </w:rPr>
              <w:t>조사 개요·조사영역표·근거 표·본문·부록의 '문N' 참조가 모두 실제 문항을 가리킴(부록의 '원본 문8-2'처럼 원본 번호임을 밝힌 인용 제외)</w:t>
            </w:r>
          </w:p>
        </w:tc>
        <w:tc>
          <w:tcPr>
            <w:tcW w:type="dxa" w:w="2494"/>
          </w:tcPr>
          <w:p>
            <w:pPr>
              <w:spacing w:after="0"/>
            </w:pPr>
            <w:r/>
            <w:r>
              <w:rPr>
                <w:rFonts w:ascii="맑은 고딕" w:hAnsi="맑은 고딕" w:eastAsia="맑은 고딕"/>
                <w:b/>
                <w:color w:val="1E7B34"/>
                <w:sz w:val="18"/>
              </w:rPr>
              <w:t>통과</w:t>
            </w:r>
          </w:p>
        </w:tc>
      </w:tr>
      <w:tr>
        <w:trPr>
          <w:cantSplit/>
        </w:trPr>
        <w:tc>
          <w:tcPr>
            <w:tcW w:type="dxa" w:w="2268"/>
          </w:tcPr>
          <w:p>
            <w:pPr>
              <w:spacing w:after="0"/>
            </w:pPr>
            <w:r/>
            <w:r>
              <w:rPr>
                <w:rFonts w:ascii="맑은 고딕" w:hAnsi="맑은 고딕" w:eastAsia="맑은 고딕"/>
                <w:b w:val="0"/>
                <w:sz w:val="18"/>
              </w:rPr>
              <w:t>'○번' 안내</w:t>
            </w:r>
          </w:p>
        </w:tc>
        <w:tc>
          <w:tcPr>
            <w:tcW w:type="dxa" w:w="4876"/>
          </w:tcPr>
          <w:p>
            <w:pPr>
              <w:spacing w:after="0"/>
            </w:pPr>
            <w:r/>
            <w:r>
              <w:rPr>
                <w:rFonts w:ascii="맑은 고딕" w:hAnsi="맑은 고딕" w:eastAsia="맑은 고딕"/>
                <w:b w:val="0"/>
                <w:sz w:val="18"/>
              </w:rPr>
              <w:t>안내가 가리키는 보기가 실제로 있고 '없음·모르겠음' 계열 보기임</w:t>
            </w:r>
          </w:p>
        </w:tc>
        <w:tc>
          <w:tcPr>
            <w:tcW w:type="dxa" w:w="2494"/>
          </w:tcPr>
          <w:p>
            <w:pPr>
              <w:spacing w:after="0"/>
            </w:pPr>
            <w:r/>
            <w:r>
              <w:rPr>
                <w:rFonts w:ascii="맑은 고딕" w:hAnsi="맑은 고딕" w:eastAsia="맑은 고딕"/>
                <w:b/>
                <w:color w:val="1E7B34"/>
                <w:sz w:val="18"/>
              </w:rPr>
              <w:t>통과(31개 문항)</w:t>
            </w:r>
          </w:p>
        </w:tc>
      </w:tr>
      <w:tr>
        <w:trPr>
          <w:cantSplit/>
        </w:trPr>
        <w:tc>
          <w:tcPr>
            <w:tcW w:type="dxa" w:w="2268"/>
          </w:tcPr>
          <w:p>
            <w:pPr>
              <w:spacing w:after="0"/>
            </w:pPr>
            <w:r/>
            <w:r>
              <w:rPr>
                <w:rFonts w:ascii="맑은 고딕" w:hAnsi="맑은 고딕" w:eastAsia="맑은 고딕"/>
                <w:b w:val="0"/>
                <w:sz w:val="18"/>
              </w:rPr>
              <w:t>보기 인용</w:t>
            </w:r>
          </w:p>
        </w:tc>
        <w:tc>
          <w:tcPr>
            <w:tcW w:type="dxa" w:w="4876"/>
          </w:tcPr>
          <w:p>
            <w:pPr>
              <w:spacing w:after="0"/>
            </w:pPr>
            <w:r/>
            <w:r>
              <w:rPr>
                <w:rFonts w:ascii="맑은 고딕" w:hAnsi="맑은 고딕" w:eastAsia="맑은 고딕"/>
                <w:b w:val="0"/>
                <w:sz w:val="18"/>
              </w:rPr>
              <w:t>근거 표·묶음 표·고객 여정 표의 '문17 ⑦' 같은 보기 인용이 실제 보기 내용과 일치</w:t>
            </w:r>
          </w:p>
        </w:tc>
        <w:tc>
          <w:tcPr>
            <w:tcW w:type="dxa" w:w="2494"/>
          </w:tcPr>
          <w:p>
            <w:pPr>
              <w:spacing w:after="0"/>
            </w:pPr>
            <w:r/>
            <w:r>
              <w:rPr>
                <w:rFonts w:ascii="맑은 고딕" w:hAnsi="맑은 고딕" w:eastAsia="맑은 고딕"/>
                <w:b/>
                <w:color w:val="1E7B34"/>
                <w:sz w:val="18"/>
              </w:rPr>
              <w:t>통과(17건)</w:t>
            </w:r>
          </w:p>
        </w:tc>
      </w:tr>
      <w:tr>
        <w:trPr>
          <w:cantSplit/>
        </w:trPr>
        <w:tc>
          <w:tcPr>
            <w:tcW w:type="dxa" w:w="2268"/>
          </w:tcPr>
          <w:p>
            <w:pPr>
              <w:spacing w:after="0"/>
            </w:pPr>
            <w:r/>
            <w:r>
              <w:rPr>
                <w:rFonts w:ascii="맑은 고딕" w:hAnsi="맑은 고딕" w:eastAsia="맑은 고딕"/>
                <w:b w:val="0"/>
                <w:sz w:val="18"/>
              </w:rPr>
              <w:t>보기 번호</w:t>
            </w:r>
          </w:p>
        </w:tc>
        <w:tc>
          <w:tcPr>
            <w:tcW w:type="dxa" w:w="4876"/>
          </w:tcPr>
          <w:p>
            <w:pPr>
              <w:spacing w:after="0"/>
            </w:pPr>
            <w:r/>
            <w:r>
              <w:rPr>
                <w:rFonts w:ascii="맑은 고딕" w:hAnsi="맑은 고딕" w:eastAsia="맑은 고딕"/>
                <w:b w:val="0"/>
                <w:sz w:val="18"/>
              </w:rPr>
              <w:t>각 문항의 보기 번호가 ①부터 빠짐·중복 없이 이어짐(문14-1·14-2는 문14의 ①~⑫를 이어 씀)</w:t>
            </w:r>
          </w:p>
        </w:tc>
        <w:tc>
          <w:tcPr>
            <w:tcW w:type="dxa" w:w="2494"/>
          </w:tcPr>
          <w:p>
            <w:pPr>
              <w:spacing w:after="0"/>
            </w:pPr>
            <w:r/>
            <w:r>
              <w:rPr>
                <w:rFonts w:ascii="맑은 고딕" w:hAnsi="맑은 고딕" w:eastAsia="맑은 고딕"/>
                <w:b/>
                <w:color w:val="1E7B34"/>
                <w:sz w:val="18"/>
              </w:rPr>
              <w:t>통과</w:t>
            </w:r>
          </w:p>
        </w:tc>
      </w:tr>
      <w:tr>
        <w:trPr>
          <w:cantSplit/>
        </w:trPr>
        <w:tc>
          <w:tcPr>
            <w:tcW w:type="dxa" w:w="2268"/>
          </w:tcPr>
          <w:p>
            <w:pPr>
              <w:spacing w:after="0"/>
            </w:pPr>
            <w:r/>
            <w:r>
              <w:rPr>
                <w:rFonts w:ascii="맑은 고딕" w:hAnsi="맑은 고딕" w:eastAsia="맑은 고딕"/>
                <w:b w:val="0"/>
                <w:sz w:val="18"/>
              </w:rPr>
              <w:t>순위 칸</w:t>
            </w:r>
          </w:p>
        </w:tc>
        <w:tc>
          <w:tcPr>
            <w:tcW w:type="dxa" w:w="4876"/>
          </w:tcPr>
          <w:p>
            <w:pPr>
              <w:spacing w:after="0"/>
            </w:pPr>
            <w:r/>
            <w:r>
              <w:rPr>
                <w:rFonts w:ascii="맑은 고딕" w:hAnsi="맑은 고딕" w:eastAsia="맑은 고딕"/>
                <w:b w:val="0"/>
                <w:sz w:val="18"/>
              </w:rPr>
              <w:t>'2가지·3가지 골라' 문항의 순위 칸 수가 요구 개수와 같고, '하나만 선택' 문항에는 순위 칸이 없음</w:t>
            </w:r>
          </w:p>
        </w:tc>
        <w:tc>
          <w:tcPr>
            <w:tcW w:type="dxa" w:w="2494"/>
          </w:tcPr>
          <w:p>
            <w:pPr>
              <w:spacing w:after="0"/>
            </w:pPr>
            <w:r/>
            <w:r>
              <w:rPr>
                <w:rFonts w:ascii="맑은 고딕" w:hAnsi="맑은 고딕" w:eastAsia="맑은 고딕"/>
                <w:b/>
                <w:color w:val="1E7B34"/>
                <w:sz w:val="18"/>
              </w:rPr>
              <w:t>통과</w:t>
            </w:r>
          </w:p>
        </w:tc>
      </w:tr>
      <w:tr>
        <w:trPr>
          <w:cantSplit/>
        </w:trPr>
        <w:tc>
          <w:tcPr>
            <w:tcW w:type="dxa" w:w="2268"/>
          </w:tcPr>
          <w:p>
            <w:pPr>
              <w:spacing w:after="0"/>
            </w:pPr>
            <w:r/>
            <w:r>
              <w:rPr>
                <w:rFonts w:ascii="맑은 고딕" w:hAnsi="맑은 고딕" w:eastAsia="맑은 고딕"/>
                <w:b w:val="0"/>
                <w:sz w:val="18"/>
              </w:rPr>
              <w:t>조사영역표 대응</w:t>
            </w:r>
          </w:p>
        </w:tc>
        <w:tc>
          <w:tcPr>
            <w:tcW w:type="dxa" w:w="4876"/>
          </w:tcPr>
          <w:p>
            <w:pPr>
              <w:spacing w:after="0"/>
            </w:pPr>
            <w:r/>
            <w:r>
              <w:rPr>
                <w:rFonts w:ascii="맑은 고딕" w:hAnsi="맑은 고딕" w:eastAsia="맑은 고딕"/>
                <w:b w:val="0"/>
                <w:sz w:val="18"/>
              </w:rPr>
              <w:t>영역명(Ⅰ~Ⅵ), 문항 범위, 순서가 설문 본문과 일치</w:t>
            </w:r>
          </w:p>
        </w:tc>
        <w:tc>
          <w:tcPr>
            <w:tcW w:type="dxa" w:w="2494"/>
          </w:tcPr>
          <w:p>
            <w:pPr>
              <w:spacing w:after="0"/>
            </w:pPr>
            <w:r/>
            <w:r>
              <w:rPr>
                <w:rFonts w:ascii="맑은 고딕" w:hAnsi="맑은 고딕" w:eastAsia="맑은 고딕"/>
                <w:b/>
                <w:color w:val="1E7B34"/>
                <w:sz w:val="18"/>
              </w:rPr>
              <w:t>통과</w:t>
            </w:r>
          </w:p>
        </w:tc>
      </w:tr>
      <w:tr>
        <w:trPr>
          <w:cantSplit/>
        </w:trPr>
        <w:tc>
          <w:tcPr>
            <w:tcW w:type="dxa" w:w="2268"/>
          </w:tcPr>
          <w:p>
            <w:pPr>
              <w:spacing w:after="0"/>
            </w:pPr>
            <w:r/>
            <w:r>
              <w:rPr>
                <w:rFonts w:ascii="맑은 고딕" w:hAnsi="맑은 고딕" w:eastAsia="맑은 고딕"/>
                <w:b w:val="0"/>
                <w:sz w:val="18"/>
              </w:rPr>
              <w:t>프로모션 수치 일치</w:t>
            </w:r>
          </w:p>
        </w:tc>
        <w:tc>
          <w:tcPr>
            <w:tcW w:type="dxa" w:w="4876"/>
          </w:tcPr>
          <w:p>
            <w:pPr>
              <w:spacing w:after="0"/>
            </w:pPr>
            <w:r/>
            <w:r>
              <w:rPr>
                <w:rFonts w:ascii="맑은 고딕" w:hAnsi="맑은 고딕" w:eastAsia="맑은 고딕"/>
                <w:b w:val="0"/>
                <w:sz w:val="18"/>
              </w:rPr>
              <w:t>문19 보기, 문20 묶음 표, 4장 묶음 제안 표의 금액·한도·기간이 서로 같음</w:t>
            </w:r>
          </w:p>
        </w:tc>
        <w:tc>
          <w:tcPr>
            <w:tcW w:type="dxa" w:w="2494"/>
          </w:tcPr>
          <w:p>
            <w:pPr>
              <w:spacing w:after="0"/>
            </w:pPr>
            <w:r/>
            <w:r>
              <w:rPr>
                <w:rFonts w:ascii="맑은 고딕" w:hAnsi="맑은 고딕" w:eastAsia="맑은 고딕"/>
                <w:b/>
                <w:color w:val="1E7B34"/>
                <w:sz w:val="18"/>
              </w:rPr>
              <w:t>통과</w:t>
            </w:r>
          </w:p>
        </w:tc>
      </w:tr>
      <w:tr>
        <w:trPr>
          <w:cantSplit/>
        </w:trPr>
        <w:tc>
          <w:tcPr>
            <w:tcW w:type="dxa" w:w="2268"/>
          </w:tcPr>
          <w:p>
            <w:pPr>
              <w:spacing w:after="0"/>
            </w:pPr>
            <w:r/>
            <w:r>
              <w:rPr>
                <w:rFonts w:ascii="맑은 고딕" w:hAnsi="맑은 고딕" w:eastAsia="맑은 고딕"/>
                <w:b w:val="0"/>
                <w:sz w:val="18"/>
              </w:rPr>
              <w:t>문서 유효성·서식</w:t>
            </w:r>
          </w:p>
        </w:tc>
        <w:tc>
          <w:tcPr>
            <w:tcW w:type="dxa" w:w="4876"/>
          </w:tcPr>
          <w:p>
            <w:pPr>
              <w:spacing w:after="0"/>
            </w:pPr>
            <w:r/>
            <w:r>
              <w:rPr>
                <w:rFonts w:ascii="맑은 고딕" w:hAnsi="맑은 고딕" w:eastAsia="맑은 고딕"/>
                <w:b w:val="0"/>
                <w:sz w:val="18"/>
              </w:rPr>
              <w:t>Word 구조 검사 통과, PDF 15쪽 육안 확인(표 잘림·빈 쪽 없음, 문20 표 한 쪽 고정)</w:t>
            </w:r>
          </w:p>
        </w:tc>
        <w:tc>
          <w:tcPr>
            <w:tcW w:type="dxa" w:w="2494"/>
          </w:tcPr>
          <w:p>
            <w:pPr>
              <w:spacing w:after="0"/>
            </w:pPr>
            <w:r/>
            <w:r>
              <w:rPr>
                <w:rFonts w:ascii="맑은 고딕" w:hAnsi="맑은 고딕" w:eastAsia="맑은 고딕"/>
                <w:b/>
                <w:color w:val="1E7B34"/>
                <w:sz w:val="18"/>
              </w:rPr>
              <w:t>통과</w:t>
            </w:r>
          </w:p>
        </w:tc>
      </w:tr>
    </w:tbl>
    <w:p>
      <w:pPr>
        <w:spacing w:after="40" w:before="0"/>
      </w:pPr>
    </w:p>
    <w:p>
      <w:pPr>
        <w:keepNext/>
        <w:pBdr>
          <w:bottom w:val="single" w:sz="6" w:space="2" w:color="1F3864"/>
        </w:pBdr>
        <w:spacing w:after="80" w:before="200"/>
      </w:pPr>
      <w:r>
        <w:rPr>
          <w:rFonts w:ascii="맑은 고딕" w:hAnsi="맑은 고딕" w:eastAsia="맑은 고딕"/>
          <w:b/>
          <w:color w:val="1F3864"/>
          <w:sz w:val="24"/>
        </w:rPr>
        <w:t>5. 응답 경로(이동 안내) 추적</w:t>
      </w:r>
    </w:p>
    <w:tbl>
      <w:tblPr>
        <w:tblStyle w:val="TableGrid"/>
        <w:tblW w:type="dxa" w:w="9638"/>
        <w:jc w:val="center"/>
        <w:tblLayout w:type="fixed"/>
        <w:tblLook w:firstColumn="1" w:firstRow="1" w:lastColumn="0" w:lastRow="0" w:noHBand="0" w:noVBand="1" w:val="04A0"/>
      </w:tblPr>
      <w:tblGrid>
        <w:gridCol w:w="2268"/>
        <w:gridCol w:w="6010"/>
        <w:gridCol w:w="1360"/>
      </w:tblGrid>
      <w:tr>
        <w:trPr>
          <w:cantSplit/>
          <w:tblHeader/>
        </w:trPr>
        <w:tc>
          <w:tcPr>
            <w:tcW w:type="dxa" w:w="2268"/>
            <w:shd w:val="clear" w:color="auto" w:fill="E8EEF7"/>
          </w:tcPr>
          <w:p>
            <w:pPr>
              <w:spacing w:after="0"/>
            </w:pPr>
            <w:r/>
            <w:r>
              <w:rPr>
                <w:rFonts w:ascii="맑은 고딕" w:hAnsi="맑은 고딕" w:eastAsia="맑은 고딕"/>
                <w:b/>
                <w:sz w:val="18"/>
              </w:rPr>
              <w:t>응답자 유형</w:t>
            </w:r>
          </w:p>
        </w:tc>
        <w:tc>
          <w:tcPr>
            <w:tcW w:type="dxa" w:w="6010"/>
            <w:shd w:val="clear" w:color="auto" w:fill="E8EEF7"/>
          </w:tcPr>
          <w:p>
            <w:pPr>
              <w:spacing w:after="0"/>
            </w:pPr>
            <w:r/>
            <w:r>
              <w:rPr>
                <w:rFonts w:ascii="맑은 고딕" w:hAnsi="맑은 고딕" w:eastAsia="맑은 고딕"/>
                <w:b/>
                <w:sz w:val="18"/>
              </w:rPr>
              <w:t>응답 경로</w:t>
            </w:r>
          </w:p>
        </w:tc>
        <w:tc>
          <w:tcPr>
            <w:tcW w:type="dxa" w:w="1360"/>
            <w:shd w:val="clear" w:color="auto" w:fill="E8EEF7"/>
          </w:tcPr>
          <w:p>
            <w:pPr>
              <w:spacing w:after="0"/>
            </w:pPr>
            <w:r/>
            <w:r>
              <w:rPr>
                <w:rFonts w:ascii="맑은 고딕" w:hAnsi="맑은 고딕" w:eastAsia="맑은 고딕"/>
                <w:b/>
                <w:sz w:val="18"/>
              </w:rPr>
              <w:t>판정</w:t>
            </w:r>
          </w:p>
        </w:tc>
      </w:tr>
      <w:tr>
        <w:trPr>
          <w:cantSplit/>
        </w:trPr>
        <w:tc>
          <w:tcPr>
            <w:tcW w:type="dxa" w:w="2268"/>
          </w:tcPr>
          <w:p>
            <w:pPr>
              <w:spacing w:after="0"/>
            </w:pPr>
            <w:r/>
            <w:r>
              <w:rPr>
                <w:rFonts w:ascii="맑은 고딕" w:hAnsi="맑은 고딕" w:eastAsia="맑은 고딕"/>
                <w:b w:val="0"/>
                <w:sz w:val="18"/>
              </w:rPr>
              <w:t>최근 3개월 이용자(문8 ①)</w:t>
            </w:r>
          </w:p>
        </w:tc>
        <w:tc>
          <w:tcPr>
            <w:tcW w:type="dxa" w:w="6010"/>
          </w:tcPr>
          <w:p>
            <w:pPr>
              <w:spacing w:after="0"/>
            </w:pPr>
            <w:r/>
            <w:r>
              <w:rPr>
                <w:rFonts w:ascii="맑은 고딕" w:hAnsi="맑은 고딕" w:eastAsia="맑은 고딕"/>
                <w:b w:val="0"/>
                <w:sz w:val="18"/>
              </w:rPr>
              <w:t>문8 → 문8-1 → 문9(불편) → 문9-1(해결방안) → 문11 → 이후 공통. 문9에서 ⑫(불편 없음)를 고르면 문9-1을 건너뛰고 문11로 이동</w:t>
            </w:r>
          </w:p>
        </w:tc>
        <w:tc>
          <w:tcPr>
            <w:tcW w:type="dxa" w:w="1360"/>
          </w:tcPr>
          <w:p>
            <w:pPr>
              <w:spacing w:after="0"/>
            </w:pPr>
            <w:r/>
            <w:r>
              <w:rPr>
                <w:rFonts w:ascii="맑은 고딕" w:hAnsi="맑은 고딕" w:eastAsia="맑은 고딕"/>
                <w:b/>
                <w:color w:val="1E7B34"/>
                <w:sz w:val="18"/>
              </w:rPr>
              <w:t>통과</w:t>
            </w:r>
          </w:p>
        </w:tc>
      </w:tr>
      <w:tr>
        <w:trPr>
          <w:cantSplit/>
        </w:trPr>
        <w:tc>
          <w:tcPr>
            <w:tcW w:type="dxa" w:w="2268"/>
          </w:tcPr>
          <w:p>
            <w:pPr>
              <w:spacing w:after="0"/>
            </w:pPr>
            <w:r/>
            <w:r>
              <w:rPr>
                <w:rFonts w:ascii="맑은 고딕" w:hAnsi="맑은 고딕" w:eastAsia="맑은 고딕"/>
                <w:b w:val="0"/>
                <w:sz w:val="18"/>
              </w:rPr>
              <w:t>비이용·중단자(문8 ②~⑤)</w:t>
            </w:r>
          </w:p>
        </w:tc>
        <w:tc>
          <w:tcPr>
            <w:tcW w:type="dxa" w:w="6010"/>
          </w:tcPr>
          <w:p>
            <w:pPr>
              <w:spacing w:after="0"/>
            </w:pPr>
            <w:r/>
            <w:r>
              <w:rPr>
                <w:rFonts w:ascii="맑은 고딕" w:hAnsi="맑은 고딕" w:eastAsia="맑은 고딕"/>
                <w:b w:val="0"/>
                <w:sz w:val="18"/>
              </w:rPr>
              <w:t>문8 → 문10(미이용 이유) → 문10-1(이용 유도 방안) → 문11 → 이후 공통</w:t>
            </w:r>
          </w:p>
        </w:tc>
        <w:tc>
          <w:tcPr>
            <w:tcW w:type="dxa" w:w="1360"/>
          </w:tcPr>
          <w:p>
            <w:pPr>
              <w:spacing w:after="0"/>
            </w:pPr>
            <w:r/>
            <w:r>
              <w:rPr>
                <w:rFonts w:ascii="맑은 고딕" w:hAnsi="맑은 고딕" w:eastAsia="맑은 고딕"/>
                <w:b/>
                <w:color w:val="1E7B34"/>
                <w:sz w:val="18"/>
              </w:rPr>
              <w:t>통과</w:t>
            </w:r>
          </w:p>
        </w:tc>
      </w:tr>
      <w:tr>
        <w:trPr>
          <w:cantSplit/>
        </w:trPr>
        <w:tc>
          <w:tcPr>
            <w:tcW w:type="dxa" w:w="2268"/>
          </w:tcPr>
          <w:p>
            <w:pPr>
              <w:spacing w:after="0"/>
            </w:pPr>
            <w:r/>
            <w:r>
              <w:rPr>
                <w:rFonts w:ascii="맑은 고딕" w:hAnsi="맑은 고딕" w:eastAsia="맑은 고딕"/>
                <w:b w:val="0"/>
                <w:sz w:val="18"/>
              </w:rPr>
              <w:t>걸림돌(문11)</w:t>
            </w:r>
          </w:p>
        </w:tc>
        <w:tc>
          <w:tcPr>
            <w:tcW w:type="dxa" w:w="6010"/>
          </w:tcPr>
          <w:p>
            <w:pPr>
              <w:spacing w:after="0"/>
            </w:pPr>
            <w:r/>
            <w:r>
              <w:rPr>
                <w:rFonts w:ascii="맑은 고딕" w:hAnsi="맑은 고딕" w:eastAsia="맑은 고딕"/>
                <w:b w:val="0"/>
                <w:sz w:val="18"/>
              </w:rPr>
              <w:t>①~⑦은 문11-1(해소 방안)에 답하고, ⑧(걸림돌 없음)은 문12로 이동</w:t>
            </w:r>
          </w:p>
        </w:tc>
        <w:tc>
          <w:tcPr>
            <w:tcW w:type="dxa" w:w="1360"/>
          </w:tcPr>
          <w:p>
            <w:pPr>
              <w:spacing w:after="0"/>
            </w:pPr>
            <w:r/>
            <w:r>
              <w:rPr>
                <w:rFonts w:ascii="맑은 고딕" w:hAnsi="맑은 고딕" w:eastAsia="맑은 고딕"/>
                <w:b/>
                <w:color w:val="1E7B34"/>
                <w:sz w:val="18"/>
              </w:rPr>
              <w:t>통과</w:t>
            </w:r>
          </w:p>
        </w:tc>
      </w:tr>
      <w:tr>
        <w:trPr>
          <w:cantSplit/>
        </w:trPr>
        <w:tc>
          <w:tcPr>
            <w:tcW w:type="dxa" w:w="2268"/>
          </w:tcPr>
          <w:p>
            <w:pPr>
              <w:spacing w:after="0"/>
            </w:pPr>
            <w:r/>
            <w:r>
              <w:rPr>
                <w:rFonts w:ascii="맑은 고딕" w:hAnsi="맑은 고딕" w:eastAsia="맑은 고딕"/>
                <w:b w:val="0"/>
                <w:sz w:val="18"/>
              </w:rPr>
              <w:t>앱 변경 경험(문12)</w:t>
            </w:r>
          </w:p>
        </w:tc>
        <w:tc>
          <w:tcPr>
            <w:tcW w:type="dxa" w:w="6010"/>
          </w:tcPr>
          <w:p>
            <w:pPr>
              <w:spacing w:after="0"/>
            </w:pPr>
            <w:r/>
            <w:r>
              <w:rPr>
                <w:rFonts w:ascii="맑은 고딕" w:hAnsi="맑은 고딕" w:eastAsia="맑은 고딕"/>
                <w:b w:val="0"/>
                <w:sz w:val="18"/>
              </w:rPr>
              <w:t>②~④는 문12-1(전환 계기)에 답하고, ①·⑤는 문13으로 이동</w:t>
            </w:r>
          </w:p>
        </w:tc>
        <w:tc>
          <w:tcPr>
            <w:tcW w:type="dxa" w:w="1360"/>
          </w:tcPr>
          <w:p>
            <w:pPr>
              <w:spacing w:after="0"/>
            </w:pPr>
            <w:r/>
            <w:r>
              <w:rPr>
                <w:rFonts w:ascii="맑은 고딕" w:hAnsi="맑은 고딕" w:eastAsia="맑은 고딕"/>
                <w:b/>
                <w:color w:val="1E7B34"/>
                <w:sz w:val="18"/>
              </w:rPr>
              <w:t>통과</w:t>
            </w:r>
          </w:p>
        </w:tc>
      </w:tr>
      <w:tr>
        <w:trPr>
          <w:cantSplit/>
        </w:trPr>
        <w:tc>
          <w:tcPr>
            <w:tcW w:type="dxa" w:w="2268"/>
          </w:tcPr>
          <w:p>
            <w:pPr>
              <w:spacing w:after="0"/>
            </w:pPr>
            <w:r/>
            <w:r>
              <w:rPr>
                <w:rFonts w:ascii="맑은 고딕" w:hAnsi="맑은 고딕" w:eastAsia="맑은 고딕"/>
                <w:b w:val="0"/>
                <w:sz w:val="18"/>
              </w:rPr>
              <w:t>토스·카카오뱅크 이용(문13)</w:t>
            </w:r>
          </w:p>
        </w:tc>
        <w:tc>
          <w:tcPr>
            <w:tcW w:type="dxa" w:w="6010"/>
          </w:tcPr>
          <w:p>
            <w:pPr>
              <w:spacing w:after="0"/>
            </w:pPr>
            <w:r/>
            <w:r>
              <w:rPr>
                <w:rFonts w:ascii="맑은 고딕" w:hAnsi="맑은 고딕" w:eastAsia="맑은 고딕"/>
                <w:b w:val="0"/>
                <w:sz w:val="18"/>
              </w:rPr>
              <w:t>①~⑤는 문13-1(이용 이유)에 답하고, ⑥은 문14로 이동</w:t>
            </w:r>
          </w:p>
        </w:tc>
        <w:tc>
          <w:tcPr>
            <w:tcW w:type="dxa" w:w="1360"/>
          </w:tcPr>
          <w:p>
            <w:pPr>
              <w:spacing w:after="0"/>
            </w:pPr>
            <w:r/>
            <w:r>
              <w:rPr>
                <w:rFonts w:ascii="맑은 고딕" w:hAnsi="맑은 고딕" w:eastAsia="맑은 고딕"/>
                <w:b/>
                <w:color w:val="1E7B34"/>
                <w:sz w:val="18"/>
              </w:rPr>
              <w:t>통과</w:t>
            </w:r>
          </w:p>
        </w:tc>
      </w:tr>
      <w:tr>
        <w:trPr>
          <w:cantSplit/>
        </w:trPr>
        <w:tc>
          <w:tcPr>
            <w:tcW w:type="dxa" w:w="2268"/>
          </w:tcPr>
          <w:p>
            <w:pPr>
              <w:spacing w:after="0"/>
            </w:pPr>
            <w:r/>
            <w:r>
              <w:rPr>
                <w:rFonts w:ascii="맑은 고딕" w:hAnsi="맑은 고딕" w:eastAsia="맑은 고딕"/>
                <w:b w:val="0"/>
                <w:sz w:val="18"/>
              </w:rPr>
              <w:t>프로모션 무관심층(문20 ⑤)</w:t>
            </w:r>
          </w:p>
        </w:tc>
        <w:tc>
          <w:tcPr>
            <w:tcW w:type="dxa" w:w="6010"/>
          </w:tcPr>
          <w:p>
            <w:pPr>
              <w:spacing w:after="0"/>
            </w:pPr>
            <w:r/>
            <w:r>
              <w:rPr>
                <w:rFonts w:ascii="맑은 고딕" w:hAnsi="맑은 고딕" w:eastAsia="맑은 고딕"/>
                <w:b w:val="0"/>
                <w:sz w:val="18"/>
              </w:rPr>
              <w:t>문20에서 ⑤(셋 다 관심 없음)를 고르면 문20-1을 건너뛰고 문20-2로 이동하며, 문20-2·20-3은 모두 응답</w:t>
            </w:r>
          </w:p>
        </w:tc>
        <w:tc>
          <w:tcPr>
            <w:tcW w:type="dxa" w:w="1360"/>
          </w:tcPr>
          <w:p>
            <w:pPr>
              <w:spacing w:after="0"/>
            </w:pPr>
            <w:r/>
            <w:r>
              <w:rPr>
                <w:rFonts w:ascii="맑은 고딕" w:hAnsi="맑은 고딕" w:eastAsia="맑은 고딕"/>
                <w:b/>
                <w:color w:val="1E7B34"/>
                <w:sz w:val="18"/>
              </w:rPr>
              <w:t>통과</w:t>
            </w:r>
          </w:p>
        </w:tc>
      </w:tr>
    </w:tbl>
    <w:p>
      <w:pPr>
        <w:spacing w:after="40" w:before="0"/>
      </w:pPr>
    </w:p>
    <w:p>
      <w:pPr>
        <w:keepNext/>
        <w:pBdr>
          <w:bottom w:val="single" w:sz="6" w:space="2" w:color="1F3864"/>
        </w:pBdr>
        <w:spacing w:after="80" w:before="200"/>
      </w:pPr>
      <w:r>
        <w:rPr>
          <w:rFonts w:ascii="맑은 고딕" w:hAnsi="맑은 고딕" w:eastAsia="맑은 고딕"/>
          <w:b/>
          <w:color w:val="1F3864"/>
          <w:sz w:val="24"/>
        </w:rPr>
        <w:t>6. 검토 중 발견 사항과 조치</w:t>
      </w:r>
    </w:p>
    <w:tbl>
      <w:tblPr>
        <w:tblStyle w:val="TableGrid"/>
        <w:tblW w:type="dxa" w:w="9636"/>
        <w:jc w:val="center"/>
        <w:tblLayout w:type="fixed"/>
        <w:tblLook w:firstColumn="1" w:firstRow="1" w:lastColumn="0" w:lastRow="0" w:noHBand="0" w:noVBand="1" w:val="04A0"/>
      </w:tblPr>
      <w:tblGrid>
        <w:gridCol w:w="623"/>
        <w:gridCol w:w="1247"/>
        <w:gridCol w:w="3515"/>
        <w:gridCol w:w="3458"/>
        <w:gridCol w:w="793"/>
      </w:tblGrid>
      <w:tr>
        <w:trPr>
          <w:cantSplit/>
          <w:tblHeader/>
        </w:trPr>
        <w:tc>
          <w:tcPr>
            <w:tcW w:type="dxa" w:w="623"/>
            <w:shd w:val="clear" w:color="auto" w:fill="E8EEF7"/>
          </w:tcPr>
          <w:p>
            <w:pPr>
              <w:spacing w:after="0"/>
            </w:pPr>
            <w:r/>
            <w:r>
              <w:rPr>
                <w:rFonts w:ascii="맑은 고딕" w:hAnsi="맑은 고딕" w:eastAsia="맑은 고딕"/>
                <w:b/>
                <w:sz w:val="18"/>
              </w:rPr>
              <w:t>번호</w:t>
            </w:r>
          </w:p>
        </w:tc>
        <w:tc>
          <w:tcPr>
            <w:tcW w:type="dxa" w:w="1247"/>
            <w:shd w:val="clear" w:color="auto" w:fill="E8EEF7"/>
          </w:tcPr>
          <w:p>
            <w:pPr>
              <w:spacing w:after="0"/>
            </w:pPr>
            <w:r/>
            <w:r>
              <w:rPr>
                <w:rFonts w:ascii="맑은 고딕" w:hAnsi="맑은 고딕" w:eastAsia="맑은 고딕"/>
                <w:b/>
                <w:sz w:val="18"/>
              </w:rPr>
              <w:t>위치</w:t>
            </w:r>
          </w:p>
        </w:tc>
        <w:tc>
          <w:tcPr>
            <w:tcW w:type="dxa" w:w="3515"/>
            <w:shd w:val="clear" w:color="auto" w:fill="E8EEF7"/>
          </w:tcPr>
          <w:p>
            <w:pPr>
              <w:spacing w:after="0"/>
            </w:pPr>
            <w:r/>
            <w:r>
              <w:rPr>
                <w:rFonts w:ascii="맑은 고딕" w:hAnsi="맑은 고딕" w:eastAsia="맑은 고딕"/>
                <w:b/>
                <w:sz w:val="18"/>
              </w:rPr>
              <w:t>발견 사항</w:t>
            </w:r>
          </w:p>
        </w:tc>
        <w:tc>
          <w:tcPr>
            <w:tcW w:type="dxa" w:w="3458"/>
            <w:shd w:val="clear" w:color="auto" w:fill="E8EEF7"/>
          </w:tcPr>
          <w:p>
            <w:pPr>
              <w:spacing w:after="0"/>
            </w:pPr>
            <w:r/>
            <w:r>
              <w:rPr>
                <w:rFonts w:ascii="맑은 고딕" w:hAnsi="맑은 고딕" w:eastAsia="맑은 고딕"/>
                <w:b/>
                <w:sz w:val="18"/>
              </w:rPr>
              <w:t>조치</w:t>
            </w:r>
          </w:p>
        </w:tc>
        <w:tc>
          <w:tcPr>
            <w:tcW w:type="dxa" w:w="793"/>
            <w:shd w:val="clear" w:color="auto" w:fill="E8EEF7"/>
          </w:tcPr>
          <w:p>
            <w:pPr>
              <w:spacing w:after="0"/>
            </w:pPr>
            <w:r/>
            <w:r>
              <w:rPr>
                <w:rFonts w:ascii="맑은 고딕" w:hAnsi="맑은 고딕" w:eastAsia="맑은 고딕"/>
                <w:b/>
                <w:sz w:val="18"/>
              </w:rPr>
              <w:t>상태</w:t>
            </w:r>
          </w:p>
        </w:tc>
      </w:tr>
      <w:tr>
        <w:trPr>
          <w:cantSplit/>
        </w:trPr>
        <w:tc>
          <w:tcPr>
            <w:tcW w:type="dxa" w:w="623"/>
          </w:tcPr>
          <w:p>
            <w:pPr>
              <w:spacing w:after="0"/>
            </w:pPr>
            <w:r/>
            <w:r>
              <w:rPr>
                <w:rFonts w:ascii="맑은 고딕" w:hAnsi="맑은 고딕" w:eastAsia="맑은 고딕"/>
                <w:b w:val="0"/>
                <w:sz w:val="18"/>
              </w:rPr>
              <w:t>1</w:t>
            </w:r>
          </w:p>
        </w:tc>
        <w:tc>
          <w:tcPr>
            <w:tcW w:type="dxa" w:w="1247"/>
          </w:tcPr>
          <w:p>
            <w:pPr>
              <w:spacing w:after="0"/>
            </w:pPr>
            <w:r/>
            <w:r>
              <w:rPr>
                <w:rFonts w:ascii="맑은 고딕" w:hAnsi="맑은 고딕" w:eastAsia="맑은 고딕"/>
                <w:b w:val="0"/>
                <w:sz w:val="18"/>
              </w:rPr>
              <w:t>문19 ⑥</w:t>
            </w:r>
          </w:p>
        </w:tc>
        <w:tc>
          <w:tcPr>
            <w:tcW w:type="dxa" w:w="3515"/>
          </w:tcPr>
          <w:p>
            <w:pPr>
              <w:spacing w:after="0"/>
            </w:pPr>
            <w:r/>
            <w:r>
              <w:rPr>
                <w:rFonts w:ascii="맑은 고딕" w:hAnsi="맑은 고딕" w:eastAsia="맑은 고딕"/>
                <w:b w:val="0"/>
                <w:sz w:val="18"/>
              </w:rPr>
              <w:t>[감사 1·2차, 결함] '타행 이체 수수료 평생 면제'를 혜택으로 제시했으나, 부산은행은 2020년부터 모바일 이체 수수료를 이미 면제하고 있다. '평생'도 비현실적인 약속이다.</w:t>
            </w:r>
          </w:p>
        </w:tc>
        <w:tc>
          <w:tcPr>
            <w:tcW w:type="dxa" w:w="3458"/>
          </w:tcPr>
          <w:p>
            <w:pPr>
              <w:spacing w:after="0"/>
            </w:pPr>
            <w:r/>
            <w:r>
              <w:rPr>
                <w:rFonts w:ascii="맑은 고딕" w:hAnsi="맑은 고딕" w:eastAsia="맑은 고딕"/>
                <w:b w:val="0"/>
                <w:sz w:val="18"/>
              </w:rPr>
              <w:t>'가입 후 12개월간 편의점·타 은행 ATM 출금 수수료 월 10회 면제'로 바꾸고 근거 표에 사유를 적었다.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2</w:t>
            </w:r>
          </w:p>
        </w:tc>
        <w:tc>
          <w:tcPr>
            <w:tcW w:type="dxa" w:w="1247"/>
          </w:tcPr>
          <w:p>
            <w:pPr>
              <w:spacing w:after="0"/>
            </w:pPr>
            <w:r/>
            <w:r>
              <w:rPr>
                <w:rFonts w:ascii="맑은 고딕" w:hAnsi="맑은 고딕" w:eastAsia="맑은 고딕"/>
                <w:b w:val="0"/>
                <w:sz w:val="18"/>
              </w:rPr>
              <w:t>문9-1</w:t>
            </w:r>
          </w:p>
        </w:tc>
        <w:tc>
          <w:tcPr>
            <w:tcW w:type="dxa" w:w="3515"/>
          </w:tcPr>
          <w:p>
            <w:pPr>
              <w:spacing w:after="0"/>
            </w:pPr>
            <w:r/>
            <w:r>
              <w:rPr>
                <w:rFonts w:ascii="맑은 고딕" w:hAnsi="맑은 고딕" w:eastAsia="맑은 고딕"/>
                <w:b w:val="0"/>
                <w:sz w:val="18"/>
              </w:rPr>
              <w:t>[감사 1·2차, 결함] '문9와 다른 항목도 된다'면서 문9 ⑫ 응답자에게 ⑫를 강제해 안내가 모순되었고, ⑫에 두 개념이 섞여 있었다.</w:t>
            </w:r>
          </w:p>
        </w:tc>
        <w:tc>
          <w:tcPr>
            <w:tcW w:type="dxa" w:w="3458"/>
          </w:tcPr>
          <w:p>
            <w:pPr>
              <w:spacing w:after="0"/>
            </w:pPr>
            <w:r/>
            <w:r>
              <w:rPr>
                <w:rFonts w:ascii="맑은 고딕" w:hAnsi="맑은 고딕" w:eastAsia="맑은 고딕"/>
                <w:b w:val="0"/>
                <w:sz w:val="18"/>
              </w:rPr>
              <w:t>문9 ⑫ 응답자는 문11로 바로 이동하게 하고, ⑫를 '어떤 방안이 시행되어도 이용 빈도는 달라지지 않을 것 같음'으로 단일화하였다. 같은 번호의 방안부터 보도록 안내하여 연결을 분명히 하였다.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3</w:t>
            </w:r>
          </w:p>
        </w:tc>
        <w:tc>
          <w:tcPr>
            <w:tcW w:type="dxa" w:w="1247"/>
          </w:tcPr>
          <w:p>
            <w:pPr>
              <w:spacing w:after="0"/>
            </w:pPr>
            <w:r/>
            <w:r>
              <w:rPr>
                <w:rFonts w:ascii="맑은 고딕" w:hAnsi="맑은 고딕" w:eastAsia="맑은 고딕"/>
                <w:b w:val="0"/>
                <w:sz w:val="18"/>
              </w:rPr>
              <w:t>계좌 업무 경로 문항</w:t>
            </w:r>
          </w:p>
        </w:tc>
        <w:tc>
          <w:tcPr>
            <w:tcW w:type="dxa" w:w="3515"/>
          </w:tcPr>
          <w:p>
            <w:pPr>
              <w:spacing w:after="0"/>
            </w:pPr>
            <w:r/>
            <w:r>
              <w:rPr>
                <w:rFonts w:ascii="맑은 고딕" w:hAnsi="맑은 고딕" w:eastAsia="맑은 고딕"/>
                <w:b w:val="0"/>
                <w:sz w:val="18"/>
              </w:rPr>
              <w:t>[감사 2차] '5 이용 경로' 문항이 문제점 영역에 있어, 교수님이 문17에 지적한 것과 같은 범주 불일치였다.</w:t>
            </w:r>
          </w:p>
        </w:tc>
        <w:tc>
          <w:tcPr>
            <w:tcW w:type="dxa" w:w="3458"/>
          </w:tcPr>
          <w:p>
            <w:pPr>
              <w:spacing w:after="0"/>
            </w:pPr>
            <w:r/>
            <w:r>
              <w:rPr>
                <w:rFonts w:ascii="맑은 고딕" w:hAnsi="맑은 고딕" w:eastAsia="맑은 고딕"/>
                <w:b w:val="0"/>
                <w:sz w:val="18"/>
              </w:rPr>
              <w:t>이용 경로 문항인 문4 바로 아래(문4-1)로 옮겼다.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4</w:t>
            </w:r>
          </w:p>
        </w:tc>
        <w:tc>
          <w:tcPr>
            <w:tcW w:type="dxa" w:w="1247"/>
          </w:tcPr>
          <w:p>
            <w:pPr>
              <w:spacing w:after="0"/>
            </w:pPr>
            <w:r/>
            <w:r>
              <w:rPr>
                <w:rFonts w:ascii="맑은 고딕" w:hAnsi="맑은 고딕" w:eastAsia="맑은 고딕"/>
                <w:b w:val="0"/>
                <w:sz w:val="18"/>
              </w:rPr>
              <w:t>가입 의향 문항</w:t>
            </w:r>
          </w:p>
        </w:tc>
        <w:tc>
          <w:tcPr>
            <w:tcW w:type="dxa" w:w="3515"/>
          </w:tcPr>
          <w:p>
            <w:pPr>
              <w:spacing w:after="0"/>
            </w:pPr>
            <w:r/>
            <w:r>
              <w:rPr>
                <w:rFonts w:ascii="맑은 고딕" w:hAnsi="맑은 고딕" w:eastAsia="맑은 고딕"/>
                <w:b w:val="0"/>
                <w:sz w:val="18"/>
              </w:rPr>
              <w:t>[감사 1·2차] 의향 보기에 '혜택만 받고 떠남'이 섞여 의향과 유지가 겹쳤다.</w:t>
            </w:r>
          </w:p>
        </w:tc>
        <w:tc>
          <w:tcPr>
            <w:tcW w:type="dxa" w:w="3458"/>
          </w:tcPr>
          <w:p>
            <w:pPr>
              <w:spacing w:after="0"/>
            </w:pPr>
            <w:r/>
            <w:r>
              <w:rPr>
                <w:rFonts w:ascii="맑은 고딕" w:hAnsi="맑은 고딕" w:eastAsia="맑은 고딕"/>
                <w:b w:val="0"/>
                <w:sz w:val="18"/>
              </w:rPr>
              <w:t>5점 척도(반드시~전혀)로 바꾸고 유지 여부는 문20-2에서 따로 묻는다.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5</w:t>
            </w:r>
          </w:p>
        </w:tc>
        <w:tc>
          <w:tcPr>
            <w:tcW w:type="dxa" w:w="1247"/>
          </w:tcPr>
          <w:p>
            <w:pPr>
              <w:spacing w:after="0"/>
            </w:pPr>
            <w:r/>
            <w:r>
              <w:rPr>
                <w:rFonts w:ascii="맑은 고딕" w:hAnsi="맑은 고딕" w:eastAsia="맑은 고딕"/>
                <w:b w:val="0"/>
                <w:sz w:val="18"/>
              </w:rPr>
              <w:t>단일 선택 문항</w:t>
            </w:r>
          </w:p>
        </w:tc>
        <w:tc>
          <w:tcPr>
            <w:tcW w:type="dxa" w:w="3515"/>
          </w:tcPr>
          <w:p>
            <w:pPr>
              <w:spacing w:after="0"/>
            </w:pPr>
            <w:r/>
            <w:r>
              <w:rPr>
                <w:rFonts w:ascii="맑은 고딕" w:hAnsi="맑은 고딕" w:eastAsia="맑은 고딕"/>
                <w:b w:val="0"/>
                <w:sz w:val="18"/>
              </w:rPr>
              <w:t>[감사 1·2차] 문2·8·12·22·23 등 '모르겠음·해당 없음' 보기가 있는 단일 선택 문항에 안내가 없었다.</w:t>
            </w:r>
          </w:p>
        </w:tc>
        <w:tc>
          <w:tcPr>
            <w:tcW w:type="dxa" w:w="3458"/>
          </w:tcPr>
          <w:p>
            <w:pPr>
              <w:spacing w:after="0"/>
            </w:pPr>
            <w:r/>
            <w:r>
              <w:rPr>
                <w:rFonts w:ascii="맑은 고딕" w:hAnsi="맑은 고딕" w:eastAsia="맑은 고딕"/>
                <w:b w:val="0"/>
                <w:sz w:val="18"/>
              </w:rPr>
              <w:t>31개 문항 모두에 같은 형식의 안내를 넣었다.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6</w:t>
            </w:r>
          </w:p>
        </w:tc>
        <w:tc>
          <w:tcPr>
            <w:tcW w:type="dxa" w:w="1247"/>
          </w:tcPr>
          <w:p>
            <w:pPr>
              <w:spacing w:after="0"/>
            </w:pPr>
            <w:r/>
            <w:r>
              <w:rPr>
                <w:rFonts w:ascii="맑은 고딕" w:hAnsi="맑은 고딕" w:eastAsia="맑은 고딕"/>
                <w:b w:val="0"/>
                <w:sz w:val="18"/>
              </w:rPr>
              <w:t>문16(개선 우선순위)</w:t>
            </w:r>
          </w:p>
        </w:tc>
        <w:tc>
          <w:tcPr>
            <w:tcW w:type="dxa" w:w="3515"/>
          </w:tcPr>
          <w:p>
            <w:pPr>
              <w:spacing w:after="0"/>
            </w:pPr>
            <w:r/>
            <w:r>
              <w:rPr>
                <w:rFonts w:ascii="맑은 고딕" w:hAnsi="맑은 고딕" w:eastAsia="맑은 고딕"/>
                <w:b w:val="0"/>
                <w:sz w:val="18"/>
              </w:rPr>
              <w:t>[감사 1차] 미이용자도 답하는 평가 문항인데 '없음·모르겠음' 보기가 없었다.</w:t>
            </w:r>
          </w:p>
        </w:tc>
        <w:tc>
          <w:tcPr>
            <w:tcW w:type="dxa" w:w="3458"/>
          </w:tcPr>
          <w:p>
            <w:pPr>
              <w:spacing w:after="0"/>
            </w:pPr>
            <w:r/>
            <w:r>
              <w:rPr>
                <w:rFonts w:ascii="맑은 고딕" w:hAnsi="맑은 고딕" w:eastAsia="맑은 고딕"/>
                <w:b w:val="0"/>
                <w:sz w:val="18"/>
              </w:rPr>
              <w:t>⑮ '개선이 필요한 부분 없음·잘 모르겠음'과 안내를 추가하였다.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7</w:t>
            </w:r>
          </w:p>
        </w:tc>
        <w:tc>
          <w:tcPr>
            <w:tcW w:type="dxa" w:w="1247"/>
          </w:tcPr>
          <w:p>
            <w:pPr>
              <w:spacing w:after="0"/>
            </w:pPr>
            <w:r/>
            <w:r>
              <w:rPr>
                <w:rFonts w:ascii="맑은 고딕" w:hAnsi="맑은 고딕" w:eastAsia="맑은 고딕"/>
                <w:b w:val="0"/>
                <w:sz w:val="18"/>
              </w:rPr>
              <w:t>최소 현금 문항</w:t>
            </w:r>
          </w:p>
        </w:tc>
        <w:tc>
          <w:tcPr>
            <w:tcW w:type="dxa" w:w="3515"/>
          </w:tcPr>
          <w:p>
            <w:pPr>
              <w:spacing w:after="0"/>
            </w:pPr>
            <w:r/>
            <w:r>
              <w:rPr>
                <w:rFonts w:ascii="맑은 고딕" w:hAnsi="맑은 고딕" w:eastAsia="맑은 고딕"/>
                <w:b w:val="0"/>
                <w:sz w:val="18"/>
              </w:rPr>
              <w:t>[감사 2차] 이미 이용 중인 사람에게 '새로 가입한다고 가정'하게 했고, 바로 위 보기의 '1만원'이 기준점이 될 수 있었다.</w:t>
            </w:r>
          </w:p>
        </w:tc>
        <w:tc>
          <w:tcPr>
            <w:tcW w:type="dxa" w:w="3458"/>
          </w:tcPr>
          <w:p>
            <w:pPr>
              <w:spacing w:after="0"/>
            </w:pPr>
            <w:r/>
            <w:r>
              <w:rPr>
                <w:rFonts w:ascii="맑은 고딕" w:hAnsi="맑은 고딕" w:eastAsia="맑은 고딕"/>
                <w:b w:val="0"/>
                <w:sz w:val="18"/>
              </w:rPr>
              <w:t>프로모션 보기보다 먼저 묻는 문18로 옮기고 '⑦ 이미 이용 중이라 해당 없음'을 추가하였다.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8</w:t>
            </w:r>
          </w:p>
        </w:tc>
        <w:tc>
          <w:tcPr>
            <w:tcW w:type="dxa" w:w="1247"/>
          </w:tcPr>
          <w:p>
            <w:pPr>
              <w:spacing w:after="0"/>
            </w:pPr>
            <w:r/>
            <w:r>
              <w:rPr>
                <w:rFonts w:ascii="맑은 고딕" w:hAnsi="맑은 고딕" w:eastAsia="맑은 고딕"/>
                <w:b w:val="0"/>
                <w:sz w:val="18"/>
              </w:rPr>
              <w:t>문19 보기</w:t>
            </w:r>
          </w:p>
        </w:tc>
        <w:tc>
          <w:tcPr>
            <w:tcW w:type="dxa" w:w="3515"/>
          </w:tcPr>
          <w:p>
            <w:pPr>
              <w:spacing w:after="0"/>
            </w:pPr>
            <w:r/>
            <w:r>
              <w:rPr>
                <w:rFonts w:ascii="맑은 고딕" w:hAnsi="맑은 고딕" w:eastAsia="맑은 고딕"/>
                <w:b w:val="0"/>
                <w:sz w:val="18"/>
              </w:rPr>
              <w:t>[감사 1·2차] 범위 값(5~10%, 6~7%대), 한 보기에 혜택 2~3개, 첫 이체 보상 중복(①·③), 친구 초대 상한 없음 문제가 있었다.</w:t>
            </w:r>
          </w:p>
        </w:tc>
        <w:tc>
          <w:tcPr>
            <w:tcW w:type="dxa" w:w="3458"/>
          </w:tcPr>
          <w:p>
            <w:pPr>
              <w:spacing w:after="0"/>
            </w:pPr>
            <w:r/>
            <w:r>
              <w:rPr>
                <w:rFonts w:ascii="맑은 고딕" w:hAnsi="맑은 고딕" w:eastAsia="맑은 고딕"/>
                <w:b w:val="0"/>
                <w:sz w:val="18"/>
              </w:rPr>
              <w:t>모든 보기를 단일 혜택·단일 값으로 정리하고 기간·한도를 명시하였다(예: 10% 할인 월 5천원 한도, 최대 5명).</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9</w:t>
            </w:r>
          </w:p>
        </w:tc>
        <w:tc>
          <w:tcPr>
            <w:tcW w:type="dxa" w:w="1247"/>
          </w:tcPr>
          <w:p>
            <w:pPr>
              <w:spacing w:after="0"/>
            </w:pPr>
            <w:r/>
            <w:r>
              <w:rPr>
                <w:rFonts w:ascii="맑은 고딕" w:hAnsi="맑은 고딕" w:eastAsia="맑은 고딕"/>
                <w:b w:val="0"/>
                <w:sz w:val="18"/>
              </w:rPr>
              <w:t>지속 이용 문항 ④</w:t>
            </w:r>
          </w:p>
        </w:tc>
        <w:tc>
          <w:tcPr>
            <w:tcW w:type="dxa" w:w="3515"/>
          </w:tcPr>
          <w:p>
            <w:pPr>
              <w:spacing w:after="0"/>
            </w:pPr>
            <w:r/>
            <w:r>
              <w:rPr>
                <w:rFonts w:ascii="맑은 고딕" w:hAnsi="맑은 고딕" w:eastAsia="맑은 고딕"/>
                <w:b w:val="0"/>
                <w:sz w:val="18"/>
              </w:rPr>
              <w:t>[감사 1·2차] '토스·카카오뱅크만큼 편리해짐'은 부산은행 앱이 더 불편하다고 전제하는 유도 표현이었다.</w:t>
            </w:r>
          </w:p>
        </w:tc>
        <w:tc>
          <w:tcPr>
            <w:tcW w:type="dxa" w:w="3458"/>
          </w:tcPr>
          <w:p>
            <w:pPr>
              <w:spacing w:after="0"/>
            </w:pPr>
            <w:r/>
            <w:r>
              <w:rPr>
                <w:rFonts w:ascii="맑은 고딕" w:hAnsi="맑은 고딕" w:eastAsia="맑은 고딕"/>
                <w:b w:val="0"/>
                <w:sz w:val="18"/>
              </w:rPr>
              <w:t>'메뉴·인증·속도 등 앱 이용이 지금보다 편리해짐'으로 고쳤다.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10</w:t>
            </w:r>
          </w:p>
        </w:tc>
        <w:tc>
          <w:tcPr>
            <w:tcW w:type="dxa" w:w="1247"/>
          </w:tcPr>
          <w:p>
            <w:pPr>
              <w:spacing w:after="0"/>
            </w:pPr>
            <w:r/>
            <w:r>
              <w:rPr>
                <w:rFonts w:ascii="맑은 고딕" w:hAnsi="맑은 고딕" w:eastAsia="맑은 고딕"/>
                <w:b w:val="0"/>
                <w:sz w:val="18"/>
              </w:rPr>
              <w:t>앱 변경 문항(문12)</w:t>
            </w:r>
          </w:p>
        </w:tc>
        <w:tc>
          <w:tcPr>
            <w:tcW w:type="dxa" w:w="3515"/>
          </w:tcPr>
          <w:p>
            <w:pPr>
              <w:spacing w:after="0"/>
            </w:pPr>
            <w:r/>
            <w:r>
              <w:rPr>
                <w:rFonts w:ascii="맑은 고딕" w:hAnsi="맑은 고딕" w:eastAsia="맑은 고딕"/>
                <w:b w:val="0"/>
                <w:sz w:val="18"/>
              </w:rPr>
              <w:t>[감사 1·2차] 이동 안내가 없었고 보기 ③(2회 이상)과 ④(바꿨다가 돌아옴)가 겹쳤다.</w:t>
            </w:r>
          </w:p>
        </w:tc>
        <w:tc>
          <w:tcPr>
            <w:tcW w:type="dxa" w:w="3458"/>
          </w:tcPr>
          <w:p>
            <w:pPr>
              <w:spacing w:after="0"/>
            </w:pPr>
            <w:r/>
            <w:r>
              <w:rPr>
                <w:rFonts w:ascii="맑은 고딕" w:hAnsi="맑은 고딕" w:eastAsia="맑은 고딕"/>
                <w:b w:val="0"/>
                <w:sz w:val="18"/>
              </w:rPr>
              <w:t>'①·⑤를 선택한 분은 문13으로 이동' 안내를 넣고, ③에 '④에 해당하는 경우 제외', ④에 '횟수 무관'을 붙였다.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11</w:t>
            </w:r>
          </w:p>
        </w:tc>
        <w:tc>
          <w:tcPr>
            <w:tcW w:type="dxa" w:w="1247"/>
          </w:tcPr>
          <w:p>
            <w:pPr>
              <w:spacing w:after="0"/>
            </w:pPr>
            <w:r/>
            <w:r>
              <w:rPr>
                <w:rFonts w:ascii="맑은 고딕" w:hAnsi="맑은 고딕" w:eastAsia="맑은 고딕"/>
                <w:b w:val="0"/>
                <w:sz w:val="18"/>
              </w:rPr>
              <w:t>걸림돌 문항(문11)</w:t>
            </w:r>
          </w:p>
        </w:tc>
        <w:tc>
          <w:tcPr>
            <w:tcW w:type="dxa" w:w="3515"/>
          </w:tcPr>
          <w:p>
            <w:pPr>
              <w:spacing w:after="0"/>
            </w:pPr>
            <w:r/>
            <w:r>
              <w:rPr>
                <w:rFonts w:ascii="맑은 고딕" w:hAnsi="맑은 고딕" w:eastAsia="맑은 고딕"/>
                <w:b w:val="0"/>
                <w:sz w:val="18"/>
              </w:rPr>
              <w:t>[감사 2차] 모든 응답자에게 묻는데 '이용을 늘리기'만 언급해 미이용자가 답하기 어려웠다.</w:t>
            </w:r>
          </w:p>
        </w:tc>
        <w:tc>
          <w:tcPr>
            <w:tcW w:type="dxa" w:w="3458"/>
          </w:tcPr>
          <w:p>
            <w:pPr>
              <w:spacing w:after="0"/>
            </w:pPr>
            <w:r/>
            <w:r>
              <w:rPr>
                <w:rFonts w:ascii="맑은 고딕" w:hAnsi="맑은 고딕" w:eastAsia="맑은 고딕"/>
                <w:b w:val="0"/>
                <w:sz w:val="18"/>
              </w:rPr>
              <w:t>'이용을 시작하거나 늘리기 어렵게 만드는'으로 고쳤다.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12</w:t>
            </w:r>
          </w:p>
        </w:tc>
        <w:tc>
          <w:tcPr>
            <w:tcW w:type="dxa" w:w="1247"/>
          </w:tcPr>
          <w:p>
            <w:pPr>
              <w:spacing w:after="0"/>
            </w:pPr>
            <w:r/>
            <w:r>
              <w:rPr>
                <w:rFonts w:ascii="맑은 고딕" w:hAnsi="맑은 고딕" w:eastAsia="맑은 고딕"/>
                <w:b w:val="0"/>
                <w:sz w:val="18"/>
              </w:rPr>
              <w:t>설계 근거 표</w:t>
            </w:r>
          </w:p>
        </w:tc>
        <w:tc>
          <w:tcPr>
            <w:tcW w:type="dxa" w:w="3515"/>
          </w:tcPr>
          <w:p>
            <w:pPr>
              <w:spacing w:after="0"/>
            </w:pPr>
            <w:r/>
            <w:r>
              <w:rPr>
                <w:rFonts w:ascii="맑은 고딕" w:hAnsi="맑은 고딕" w:eastAsia="맑은 고딕"/>
                <w:b w:val="0"/>
                <w:sz w:val="18"/>
              </w:rPr>
              <w:t>[감사 1·2차·자체] '판매해 왔다'(청년미래적금), '부산대 등과 맺어 온', '동백전 운영대행을 맡아 온' 같은 과장 표현이 있었고, 토스 관련 서술에 출처가 없었다.</w:t>
            </w:r>
          </w:p>
        </w:tc>
        <w:tc>
          <w:tcPr>
            <w:tcW w:type="dxa" w:w="3458"/>
          </w:tcPr>
          <w:p>
            <w:pPr>
              <w:spacing w:after="0"/>
            </w:pPr>
            <w:r/>
            <w:r>
              <w:rPr>
                <w:rFonts w:ascii="맑은 고딕" w:hAnsi="맑은 고딕" w:eastAsia="맑은 고딕"/>
                <w:b w:val="0"/>
                <w:sz w:val="18"/>
              </w:rPr>
              <w:t>정책상품 취급, 2010년 부산대 제휴(여러 은행 참여), 2022년 4월~2025년 3월 운영대행처럼 확인된 범위로만 적었다. 토스 사례는 기사로 확인한 내용만 남겼다.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13</w:t>
            </w:r>
          </w:p>
        </w:tc>
        <w:tc>
          <w:tcPr>
            <w:tcW w:type="dxa" w:w="1247"/>
          </w:tcPr>
          <w:p>
            <w:pPr>
              <w:spacing w:after="0"/>
            </w:pPr>
            <w:r/>
            <w:r>
              <w:rPr>
                <w:rFonts w:ascii="맑은 고딕" w:hAnsi="맑은 고딕" w:eastAsia="맑은 고딕"/>
                <w:b w:val="0"/>
                <w:sz w:val="18"/>
              </w:rPr>
              <w:t>설계 근거 표</w:t>
            </w:r>
          </w:p>
        </w:tc>
        <w:tc>
          <w:tcPr>
            <w:tcW w:type="dxa" w:w="3515"/>
          </w:tcPr>
          <w:p>
            <w:pPr>
              <w:spacing w:after="0"/>
            </w:pPr>
            <w:r/>
            <w:r>
              <w:rPr>
                <w:rFonts w:ascii="맑은 고딕" w:hAnsi="맑은 고딕" w:eastAsia="맑은 고딕"/>
                <w:b w:val="0"/>
                <w:sz w:val="18"/>
              </w:rPr>
              <w:t>[감사 1차] '측정 문항' 칸의 교차 연결이 일부 빠져 있었다.</w:t>
            </w:r>
          </w:p>
        </w:tc>
        <w:tc>
          <w:tcPr>
            <w:tcW w:type="dxa" w:w="3458"/>
          </w:tcPr>
          <w:p>
            <w:pPr>
              <w:spacing w:after="0"/>
            </w:pPr>
            <w:r/>
            <w:r>
              <w:rPr>
                <w:rFonts w:ascii="맑은 고딕" w:hAnsi="맑은 고딕" w:eastAsia="맑은 고딕"/>
                <w:b w:val="0"/>
                <w:sz w:val="18"/>
              </w:rPr>
              <w:t>⑧·⑩·⑪·⑫ 등 모든 행에 관련 문항과 묶음 번호를 보강하였다.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14</w:t>
            </w:r>
          </w:p>
        </w:tc>
        <w:tc>
          <w:tcPr>
            <w:tcW w:type="dxa" w:w="1247"/>
          </w:tcPr>
          <w:p>
            <w:pPr>
              <w:spacing w:after="0"/>
            </w:pPr>
            <w:r/>
            <w:r>
              <w:rPr>
                <w:rFonts w:ascii="맑은 고딕" w:hAnsi="맑은 고딕" w:eastAsia="맑은 고딕"/>
                <w:b w:val="0"/>
                <w:sz w:val="18"/>
              </w:rPr>
              <w:t>조사영역표</w:t>
            </w:r>
          </w:p>
        </w:tc>
        <w:tc>
          <w:tcPr>
            <w:tcW w:type="dxa" w:w="3515"/>
          </w:tcPr>
          <w:p>
            <w:pPr>
              <w:spacing w:after="0"/>
            </w:pPr>
            <w:r/>
            <w:r>
              <w:rPr>
                <w:rFonts w:ascii="맑은 고딕" w:hAnsi="맑은 고딕" w:eastAsia="맑은 고딕"/>
                <w:b w:val="0"/>
                <w:sz w:val="18"/>
              </w:rPr>
              <w:t>[감사 1·2차·자체] 새 범주에 가이드 번호가 없거나 임의 번호여서 다른 행과 표기가 달랐다.</w:t>
            </w:r>
          </w:p>
        </w:tc>
        <w:tc>
          <w:tcPr>
            <w:tcW w:type="dxa" w:w="3458"/>
          </w:tcPr>
          <w:p>
            <w:pPr>
              <w:spacing w:after="0"/>
            </w:pPr>
            <w:r/>
            <w:r>
              <w:rPr>
                <w:rFonts w:ascii="맑은 고딕" w:hAnsi="맑은 고딕" w:eastAsia="맑은 고딕"/>
                <w:b w:val="0"/>
                <w:sz w:val="18"/>
              </w:rPr>
              <w:t>원본 가이드의 같은 계열 번호(4 이용경험·비이용 요인, 7 개선방안)를 따라 '4 문제점', '7 대응방안'으로 표기하였다.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15</w:t>
            </w:r>
          </w:p>
        </w:tc>
        <w:tc>
          <w:tcPr>
            <w:tcW w:type="dxa" w:w="1247"/>
          </w:tcPr>
          <w:p>
            <w:pPr>
              <w:spacing w:after="0"/>
            </w:pPr>
            <w:r/>
            <w:r>
              <w:rPr>
                <w:rFonts w:ascii="맑은 고딕" w:hAnsi="맑은 고딕" w:eastAsia="맑은 고딕"/>
                <w:b w:val="0"/>
                <w:sz w:val="18"/>
              </w:rPr>
              <w:t>문5-1</w:t>
            </w:r>
          </w:p>
        </w:tc>
        <w:tc>
          <w:tcPr>
            <w:tcW w:type="dxa" w:w="3515"/>
          </w:tcPr>
          <w:p>
            <w:pPr>
              <w:spacing w:after="0"/>
            </w:pPr>
            <w:r/>
            <w:r>
              <w:rPr>
                <w:rFonts w:ascii="맑은 고딕" w:hAnsi="맑은 고딕" w:eastAsia="맑은 고딕"/>
                <w:b w:val="0"/>
                <w:sz w:val="18"/>
              </w:rPr>
              <w:t>[감사 1차] 순위 칸이 있는데 순서 기준이 없었다.</w:t>
            </w:r>
          </w:p>
        </w:tc>
        <w:tc>
          <w:tcPr>
            <w:tcW w:type="dxa" w:w="3458"/>
          </w:tcPr>
          <w:p>
            <w:pPr>
              <w:spacing w:after="0"/>
            </w:pPr>
            <w:r/>
            <w:r>
              <w:rPr>
                <w:rFonts w:ascii="맑은 고딕" w:hAnsi="맑은 고딕" w:eastAsia="맑은 고딕"/>
                <w:b w:val="0"/>
                <w:sz w:val="18"/>
              </w:rPr>
              <w:t>'먼저 접한 순서대로'를 넣었다.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16</w:t>
            </w:r>
          </w:p>
        </w:tc>
        <w:tc>
          <w:tcPr>
            <w:tcW w:type="dxa" w:w="1247"/>
          </w:tcPr>
          <w:p>
            <w:pPr>
              <w:spacing w:after="0"/>
            </w:pPr>
            <w:r/>
            <w:r>
              <w:rPr>
                <w:rFonts w:ascii="맑은 고딕" w:hAnsi="맑은 고딕" w:eastAsia="맑은 고딕"/>
                <w:b w:val="0"/>
                <w:sz w:val="18"/>
              </w:rPr>
              <w:t>부록</w:t>
            </w:r>
          </w:p>
        </w:tc>
        <w:tc>
          <w:tcPr>
            <w:tcW w:type="dxa" w:w="3515"/>
          </w:tcPr>
          <w:p>
            <w:pPr>
              <w:spacing w:after="0"/>
            </w:pPr>
            <w:r/>
            <w:r>
              <w:rPr>
                <w:rFonts w:ascii="맑은 고딕" w:hAnsi="맑은 고딕" w:eastAsia="맑은 고딕"/>
                <w:b w:val="0"/>
                <w:sz w:val="18"/>
              </w:rPr>
              <w:t>[자체] 피드백 인용 칸이 원본 번호(문17 등)를 그대로 써서 수정본 번호와 혼동될 수 있었다.</w:t>
            </w:r>
          </w:p>
        </w:tc>
        <w:tc>
          <w:tcPr>
            <w:tcW w:type="dxa" w:w="3458"/>
          </w:tcPr>
          <w:p>
            <w:pPr>
              <w:spacing w:after="0"/>
            </w:pPr>
            <w:r/>
            <w:r>
              <w:rPr>
                <w:rFonts w:ascii="맑은 고딕" w:hAnsi="맑은 고딕" w:eastAsia="맑은 고딕"/>
                <w:b w:val="0"/>
                <w:sz w:val="18"/>
              </w:rPr>
              <w:t>'원본 문17(현 문11)'처럼 원본·수정본 번호를 함께 적었다.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17</w:t>
            </w:r>
          </w:p>
        </w:tc>
        <w:tc>
          <w:tcPr>
            <w:tcW w:type="dxa" w:w="1247"/>
          </w:tcPr>
          <w:p>
            <w:pPr>
              <w:spacing w:after="0"/>
            </w:pPr>
            <w:r/>
            <w:r>
              <w:rPr>
                <w:rFonts w:ascii="맑은 고딕" w:hAnsi="맑은 고딕" w:eastAsia="맑은 고딕"/>
                <w:b w:val="0"/>
                <w:sz w:val="18"/>
              </w:rPr>
              <w:t>배치</w:t>
            </w:r>
          </w:p>
        </w:tc>
        <w:tc>
          <w:tcPr>
            <w:tcW w:type="dxa" w:w="3515"/>
          </w:tcPr>
          <w:p>
            <w:pPr>
              <w:spacing w:after="0"/>
            </w:pPr>
            <w:r/>
            <w:r>
              <w:rPr>
                <w:rFonts w:ascii="맑은 고딕" w:hAnsi="맑은 고딕" w:eastAsia="맑은 고딕"/>
                <w:b w:val="0"/>
                <w:sz w:val="18"/>
              </w:rPr>
              <w:t>[자체] 표가 다음 쪽으로 조금 넘어가 빈 공간이 생겼고, 문20의 묶음 표가 두 쪽으로 나뉘었다.</w:t>
            </w:r>
          </w:p>
        </w:tc>
        <w:tc>
          <w:tcPr>
            <w:tcW w:type="dxa" w:w="3458"/>
          </w:tcPr>
          <w:p>
            <w:pPr>
              <w:spacing w:after="0"/>
            </w:pPr>
            <w:r/>
            <w:r>
              <w:rPr>
                <w:rFonts w:ascii="맑은 고딕" w:hAnsi="맑은 고딕" w:eastAsia="맑은 고딕"/>
                <w:b w:val="0"/>
                <w:sz w:val="18"/>
              </w:rPr>
              <w:t>문장과 열 너비를 정리하고 문20 표를 한 쪽에 고정하였다(16쪽에서 15쪽).</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18</w:t>
            </w:r>
          </w:p>
        </w:tc>
        <w:tc>
          <w:tcPr>
            <w:tcW w:type="dxa" w:w="1247"/>
          </w:tcPr>
          <w:p>
            <w:pPr>
              <w:spacing w:after="0"/>
            </w:pPr>
            <w:r/>
            <w:r>
              <w:rPr>
                <w:rFonts w:ascii="맑은 고딕" w:hAnsi="맑은 고딕" w:eastAsia="맑은 고딕"/>
                <w:b w:val="0"/>
                <w:sz w:val="18"/>
              </w:rPr>
              <w:t>묶음 A</w:t>
            </w:r>
          </w:p>
        </w:tc>
        <w:tc>
          <w:tcPr>
            <w:tcW w:type="dxa" w:w="3515"/>
          </w:tcPr>
          <w:p>
            <w:pPr>
              <w:spacing w:after="0"/>
            </w:pPr>
            <w:r/>
            <w:r>
              <w:rPr>
                <w:rFonts w:ascii="맑은 고딕" w:hAnsi="맑은 고딕" w:eastAsia="맑은 고딕"/>
                <w:b w:val="0"/>
                <w:sz w:val="18"/>
              </w:rPr>
              <w:t>[감사 3차, 결함] 4장의 '1인 최대 3만원'과 문20 A의 혜택 합계(최대 5만5천원)가 맞지 않았고, 학식 할인에 한도가 없었다.</w:t>
            </w:r>
          </w:p>
        </w:tc>
        <w:tc>
          <w:tcPr>
            <w:tcW w:type="dxa" w:w="3458"/>
          </w:tcPr>
          <w:p>
            <w:pPr>
              <w:spacing w:after="0"/>
            </w:pPr>
            <w:r/>
            <w:r>
              <w:rPr>
                <w:rFonts w:ascii="맑은 고딕" w:hAnsi="맑은 고딕" w:eastAsia="맑은 고딕"/>
                <w:b w:val="0"/>
                <w:sz w:val="18"/>
              </w:rPr>
              <w:t>'가입·미션 최대 3만원, 친구 초대 최대 2만5천원(5명), 학식 할인 월 5천원'으로 4장·문19·문20을 일치시켰다.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19</w:t>
            </w:r>
          </w:p>
        </w:tc>
        <w:tc>
          <w:tcPr>
            <w:tcW w:type="dxa" w:w="1247"/>
          </w:tcPr>
          <w:p>
            <w:pPr>
              <w:spacing w:after="0"/>
            </w:pPr>
            <w:r/>
            <w:r>
              <w:rPr>
                <w:rFonts w:ascii="맑은 고딕" w:hAnsi="맑은 고딕" w:eastAsia="맑은 고딕"/>
                <w:b w:val="0"/>
                <w:sz w:val="18"/>
              </w:rPr>
              <w:t>문19 ⑧~⑫</w:t>
            </w:r>
          </w:p>
        </w:tc>
        <w:tc>
          <w:tcPr>
            <w:tcW w:type="dxa" w:w="3515"/>
          </w:tcPr>
          <w:p>
            <w:pPr>
              <w:spacing w:after="0"/>
            </w:pPr>
            <w:r/>
            <w:r>
              <w:rPr>
                <w:rFonts w:ascii="맑은 고딕" w:hAnsi="맑은 고딕" w:eastAsia="맑은 고딕"/>
                <w:b w:val="0"/>
                <w:sz w:val="18"/>
              </w:rPr>
              <w:t>[감사 3차, 결함] 야구 적금(⑩)에 금리·한도가 없었고, ⑧⑨⑫에 기간, ⑪에 한도가 없어 '모든 보기에 금액·한도를 정했다'는 설명과 어긋났다.</w:t>
            </w:r>
          </w:p>
        </w:tc>
        <w:tc>
          <w:tcPr>
            <w:tcW w:type="dxa" w:w="3458"/>
          </w:tcPr>
          <w:p>
            <w:pPr>
              <w:spacing w:after="0"/>
            </w:pPr>
            <w:r/>
            <w:r>
              <w:rPr>
                <w:rFonts w:ascii="맑은 고딕" w:hAnsi="맑은 고딕" w:eastAsia="맑은 고딕"/>
                <w:b w:val="0"/>
                <w:sz w:val="18"/>
              </w:rPr>
              <w:t>⑩을 '정규시즌 10승마다 연 0.1%p(최대 0.8%p, 1년·월 30만원 한도)'로 구체화하고 ⑧⑨⑫에 '가입 후 6개월간', ⑪에 '월 5천원 한도'를 넣었다.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20</w:t>
            </w:r>
          </w:p>
        </w:tc>
        <w:tc>
          <w:tcPr>
            <w:tcW w:type="dxa" w:w="1247"/>
          </w:tcPr>
          <w:p>
            <w:pPr>
              <w:spacing w:after="0"/>
            </w:pPr>
            <w:r/>
            <w:r>
              <w:rPr>
                <w:rFonts w:ascii="맑은 고딕" w:hAnsi="맑은 고딕" w:eastAsia="맑은 고딕"/>
                <w:b w:val="0"/>
                <w:sz w:val="18"/>
              </w:rPr>
              <w:t>문20-1</w:t>
            </w:r>
          </w:p>
        </w:tc>
        <w:tc>
          <w:tcPr>
            <w:tcW w:type="dxa" w:w="3515"/>
          </w:tcPr>
          <w:p>
            <w:pPr>
              <w:spacing w:after="0"/>
            </w:pPr>
            <w:r/>
            <w:r>
              <w:rPr>
                <w:rFonts w:ascii="맑은 고딕" w:hAnsi="맑은 고딕" w:eastAsia="맑은 고딕"/>
                <w:b w:val="0"/>
                <w:sz w:val="18"/>
              </w:rPr>
              <w:t>[감사 3차] 묶음에 관심 없는 응답자에게 '전혀 이용하지 않을 것'을 강제해, 현재 이용자가 이용을 그만둔다는 뜻으로 읽힐 수 있었다.</w:t>
            </w:r>
          </w:p>
        </w:tc>
        <w:tc>
          <w:tcPr>
            <w:tcW w:type="dxa" w:w="3458"/>
          </w:tcPr>
          <w:p>
            <w:pPr>
              <w:spacing w:after="0"/>
            </w:pPr>
            <w:r/>
            <w:r>
              <w:rPr>
                <w:rFonts w:ascii="맑은 고딕" w:hAnsi="맑은 고딕" w:eastAsia="맑은 고딕"/>
                <w:b w:val="0"/>
                <w:sz w:val="18"/>
              </w:rPr>
              <w:t>문20 ⑤ 응답자는 문20-1을 건너뛰고 문20-2로 이동하게 하였다.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21</w:t>
            </w:r>
          </w:p>
        </w:tc>
        <w:tc>
          <w:tcPr>
            <w:tcW w:type="dxa" w:w="1247"/>
          </w:tcPr>
          <w:p>
            <w:pPr>
              <w:spacing w:after="0"/>
            </w:pPr>
            <w:r/>
            <w:r>
              <w:rPr>
                <w:rFonts w:ascii="맑은 고딕" w:hAnsi="맑은 고딕" w:eastAsia="맑은 고딕"/>
                <w:b w:val="0"/>
                <w:sz w:val="18"/>
              </w:rPr>
              <w:t>문19·문20·4장</w:t>
            </w:r>
          </w:p>
        </w:tc>
        <w:tc>
          <w:tcPr>
            <w:tcW w:type="dxa" w:w="3515"/>
          </w:tcPr>
          <w:p>
            <w:pPr>
              <w:spacing w:after="0"/>
            </w:pPr>
            <w:r/>
            <w:r>
              <w:rPr>
                <w:rFonts w:ascii="맑은 고딕" w:hAnsi="맑은 고딕" w:eastAsia="맑은 고딕"/>
                <w:b w:val="0"/>
                <w:sz w:val="18"/>
              </w:rPr>
              <w:t>[감사 3차] 같은 혜택의 표현이 표마다 달랐다('첫 이체' 대 '첫 이체·결제', ATM 면제 기간, 장학금 포함 여부, 6개월 적용 범위).</w:t>
            </w:r>
          </w:p>
        </w:tc>
        <w:tc>
          <w:tcPr>
            <w:tcW w:type="dxa" w:w="3458"/>
          </w:tcPr>
          <w:p>
            <w:pPr>
              <w:spacing w:after="0"/>
            </w:pPr>
            <w:r/>
            <w:r>
              <w:rPr>
                <w:rFonts w:ascii="맑은 고딕" w:hAnsi="맑은 고딕" w:eastAsia="맑은 고딕"/>
                <w:b w:val="0"/>
                <w:sz w:val="18"/>
              </w:rPr>
              <w:t>세 곳의 표현을 문19 보기와 똑같이 맞췄다.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22</w:t>
            </w:r>
          </w:p>
        </w:tc>
        <w:tc>
          <w:tcPr>
            <w:tcW w:type="dxa" w:w="1247"/>
          </w:tcPr>
          <w:p>
            <w:pPr>
              <w:spacing w:after="0"/>
            </w:pPr>
            <w:r/>
            <w:r>
              <w:rPr>
                <w:rFonts w:ascii="맑은 고딕" w:hAnsi="맑은 고딕" w:eastAsia="맑은 고딕"/>
                <w:b w:val="0"/>
                <w:sz w:val="18"/>
              </w:rPr>
              <w:t>문10·10-1·11-1·18·19-1·20-2</w:t>
            </w:r>
          </w:p>
        </w:tc>
        <w:tc>
          <w:tcPr>
            <w:tcW w:type="dxa" w:w="3515"/>
          </w:tcPr>
          <w:p>
            <w:pPr>
              <w:spacing w:after="0"/>
            </w:pPr>
            <w:r/>
            <w:r>
              <w:rPr>
                <w:rFonts w:ascii="맑은 고딕" w:hAnsi="맑은 고딕" w:eastAsia="맑은 고딕"/>
                <w:b w:val="0"/>
                <w:sz w:val="18"/>
              </w:rPr>
              <w:t>[감사 3차] 문10에 '없음' 보기가 없었고, 문10-1 질문 문장이 어색했다. 문10-1 ④⑥·문19-1 ④에 두 개념이 섞여 있었고, 문11-1 ②는 걸림돌의 절반만 다뤘다. 문18 ⑦ 대상과 문20-2 ② 표현도 모호하였다.</w:t>
            </w:r>
          </w:p>
        </w:tc>
        <w:tc>
          <w:tcPr>
            <w:tcW w:type="dxa" w:w="3458"/>
          </w:tcPr>
          <w:p>
            <w:pPr>
              <w:spacing w:after="0"/>
            </w:pPr>
            <w:r/>
            <w:r>
              <w:rPr>
                <w:rFonts w:ascii="맑은 고딕" w:hAnsi="맑은 고딕" w:eastAsia="맑은 고딕"/>
                <w:b w:val="0"/>
                <w:sz w:val="18"/>
              </w:rPr>
              <w:t>문10에 '⑫ 특별한 이유 없음'과 안내를 넣고, 각 보기를 한 개념으로 정리하였다. 대상은 '문8에서 ①·②를 선택한 분'으로, 문20-2 ②는 '프로모션이 끝나도 남는 기본 혜택'으로 명확히 하였다.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23</w:t>
            </w:r>
          </w:p>
        </w:tc>
        <w:tc>
          <w:tcPr>
            <w:tcW w:type="dxa" w:w="1247"/>
          </w:tcPr>
          <w:p>
            <w:pPr>
              <w:spacing w:after="0"/>
            </w:pPr>
            <w:r/>
            <w:r>
              <w:rPr>
                <w:rFonts w:ascii="맑은 고딕" w:hAnsi="맑은 고딕" w:eastAsia="맑은 고딕"/>
                <w:b w:val="0"/>
                <w:sz w:val="18"/>
              </w:rPr>
              <w:t>표기</w:t>
            </w:r>
          </w:p>
        </w:tc>
        <w:tc>
          <w:tcPr>
            <w:tcW w:type="dxa" w:w="3515"/>
          </w:tcPr>
          <w:p>
            <w:pPr>
              <w:spacing w:after="0"/>
            </w:pPr>
            <w:r/>
            <w:r>
              <w:rPr>
                <w:rFonts w:ascii="맑은 고딕" w:hAnsi="맑은 고딕" w:eastAsia="맑은 고딕"/>
                <w:b w:val="0"/>
                <w:sz w:val="18"/>
              </w:rPr>
              <w:t>[감사 3차] '반반이다', '30대', '3개월보다 전에', 이동 안내 형식 등 표기가 고르지 않았다.</w:t>
            </w:r>
          </w:p>
        </w:tc>
        <w:tc>
          <w:tcPr>
            <w:tcW w:type="dxa" w:w="3458"/>
          </w:tcPr>
          <w:p>
            <w:pPr>
              <w:spacing w:after="0"/>
            </w:pPr>
            <w:r/>
            <w:r>
              <w:rPr>
                <w:rFonts w:ascii="맑은 고딕" w:hAnsi="맑은 고딕" w:eastAsia="맑은 고딕"/>
                <w:b w:val="0"/>
                <w:sz w:val="18"/>
              </w:rPr>
              <w:t>'반반임', '만 30~39세', '3개월 이전에'로 고치고 이동 안내를 '…을 선택한 분은 …으로 이동해 주세요'로 통일하였다.</w:t>
            </w:r>
          </w:p>
        </w:tc>
        <w:tc>
          <w:tcPr>
            <w:tcW w:type="dxa" w:w="793"/>
          </w:tcPr>
          <w:p>
            <w:pPr>
              <w:spacing w:after="0"/>
            </w:pPr>
            <w:r/>
            <w:r>
              <w:rPr>
                <w:rFonts w:ascii="맑은 고딕" w:hAnsi="맑은 고딕" w:eastAsia="맑은 고딕"/>
                <w:b/>
                <w:color w:val="1E7B34"/>
                <w:sz w:val="18"/>
              </w:rPr>
              <w:t>완료</w:t>
            </w:r>
          </w:p>
        </w:tc>
      </w:tr>
      <w:tr>
        <w:trPr>
          <w:cantSplit/>
        </w:trPr>
        <w:tc>
          <w:tcPr>
            <w:tcW w:type="dxa" w:w="623"/>
          </w:tcPr>
          <w:p>
            <w:pPr>
              <w:spacing w:after="0"/>
            </w:pPr>
            <w:r/>
            <w:r>
              <w:rPr>
                <w:rFonts w:ascii="맑은 고딕" w:hAnsi="맑은 고딕" w:eastAsia="맑은 고딕"/>
                <w:b w:val="0"/>
                <w:sz w:val="18"/>
              </w:rPr>
              <w:t>24</w:t>
            </w:r>
          </w:p>
        </w:tc>
        <w:tc>
          <w:tcPr>
            <w:tcW w:type="dxa" w:w="1247"/>
          </w:tcPr>
          <w:p>
            <w:pPr>
              <w:spacing w:after="0"/>
            </w:pPr>
            <w:r/>
            <w:r>
              <w:rPr>
                <w:rFonts w:ascii="맑은 고딕" w:hAnsi="맑은 고딕" w:eastAsia="맑은 고딕"/>
                <w:b w:val="0"/>
                <w:sz w:val="18"/>
              </w:rPr>
              <w:t>문10·문11 보기</w:t>
            </w:r>
          </w:p>
        </w:tc>
        <w:tc>
          <w:tcPr>
            <w:tcW w:type="dxa" w:w="3515"/>
          </w:tcPr>
          <w:p>
            <w:pPr>
              <w:spacing w:after="0"/>
            </w:pPr>
            <w:r/>
            <w:r>
              <w:rPr>
                <w:rFonts w:ascii="맑은 고딕" w:hAnsi="맑은 고딕" w:eastAsia="맑은 고딕"/>
                <w:b w:val="0"/>
                <w:sz w:val="18"/>
              </w:rPr>
              <w:t>[감사 3차, 참고] 미이용자에게는 문10 ⑩과 문11 ⑤ 등 비슷한 보기가 두 번 나온다.</w:t>
            </w:r>
          </w:p>
        </w:tc>
        <w:tc>
          <w:tcPr>
            <w:tcW w:type="dxa" w:w="3458"/>
          </w:tcPr>
          <w:p>
            <w:pPr>
              <w:spacing w:after="0"/>
            </w:pPr>
            <w:r/>
            <w:r>
              <w:rPr>
                <w:rFonts w:ascii="맑은 고딕" w:hAnsi="맑은 고딕" w:eastAsia="맑은 고딕"/>
                <w:b w:val="0"/>
                <w:sz w:val="18"/>
              </w:rPr>
              <w:t>문10은 현재 미이용 이유, 문11은 개선 후에도 남는 걸림돌로 묻는 시점이 달라 그대로 두었다.</w:t>
            </w:r>
          </w:p>
        </w:tc>
        <w:tc>
          <w:tcPr>
            <w:tcW w:type="dxa" w:w="793"/>
          </w:tcPr>
          <w:p>
            <w:pPr>
              <w:spacing w:after="0"/>
            </w:pPr>
            <w:r/>
            <w:r>
              <w:rPr>
                <w:rFonts w:ascii="맑은 고딕" w:hAnsi="맑은 고딕" w:eastAsia="맑은 고딕"/>
                <w:b w:val="0"/>
                <w:sz w:val="18"/>
              </w:rPr>
              <w:t>유지</w:t>
            </w:r>
          </w:p>
        </w:tc>
      </w:tr>
    </w:tbl>
    <w:p>
      <w:pPr>
        <w:spacing w:after="40" w:before="0"/>
      </w:pPr>
    </w:p>
    <w:p>
      <w:pPr>
        <w:keepNext/>
        <w:pBdr>
          <w:bottom w:val="single" w:sz="6" w:space="2" w:color="1F3864"/>
        </w:pBdr>
        <w:spacing w:after="80" w:before="200"/>
      </w:pPr>
      <w:r>
        <w:rPr>
          <w:rFonts w:ascii="맑은 고딕" w:hAnsi="맑은 고딕" w:eastAsia="맑은 고딕"/>
          <w:b/>
          <w:color w:val="1F3864"/>
          <w:sz w:val="24"/>
        </w:rPr>
        <w:t>7. 프로모션 근거 사실 확인</w:t>
      </w:r>
    </w:p>
    <w:tbl>
      <w:tblPr>
        <w:tblStyle w:val="TableGrid"/>
        <w:tblW w:type="dxa" w:w="9638"/>
        <w:jc w:val="center"/>
        <w:tblLayout w:type="fixed"/>
        <w:tblLook w:firstColumn="1" w:firstRow="1" w:lastColumn="0" w:lastRow="0" w:noHBand="0" w:noVBand="1" w:val="04A0"/>
      </w:tblPr>
      <w:tblGrid>
        <w:gridCol w:w="2835"/>
        <w:gridCol w:w="4082"/>
        <w:gridCol w:w="2721"/>
      </w:tblGrid>
      <w:tr>
        <w:trPr>
          <w:cantSplit/>
          <w:tblHeader/>
        </w:trPr>
        <w:tc>
          <w:tcPr>
            <w:tcW w:type="dxa" w:w="2835"/>
            <w:shd w:val="clear" w:color="auto" w:fill="E8EEF7"/>
          </w:tcPr>
          <w:p>
            <w:pPr>
              <w:spacing w:after="0"/>
            </w:pPr>
            <w:r/>
            <w:r>
              <w:rPr>
                <w:rFonts w:ascii="맑은 고딕" w:hAnsi="맑은 고딕" w:eastAsia="맑은 고딕"/>
                <w:b/>
                <w:sz w:val="18"/>
              </w:rPr>
              <w:t>근거 표의 서술</w:t>
            </w:r>
          </w:p>
        </w:tc>
        <w:tc>
          <w:tcPr>
            <w:tcW w:type="dxa" w:w="4082"/>
            <w:shd w:val="clear" w:color="auto" w:fill="E8EEF7"/>
          </w:tcPr>
          <w:p>
            <w:pPr>
              <w:spacing w:after="0"/>
            </w:pPr>
            <w:r/>
            <w:r>
              <w:rPr>
                <w:rFonts w:ascii="맑은 고딕" w:hAnsi="맑은 고딕" w:eastAsia="맑은 고딕"/>
                <w:b/>
                <w:sz w:val="18"/>
              </w:rPr>
              <w:t>확인 결과</w:t>
            </w:r>
          </w:p>
        </w:tc>
        <w:tc>
          <w:tcPr>
            <w:tcW w:type="dxa" w:w="2721"/>
            <w:shd w:val="clear" w:color="auto" w:fill="E8EEF7"/>
          </w:tcPr>
          <w:p>
            <w:pPr>
              <w:spacing w:after="0"/>
            </w:pPr>
            <w:r/>
            <w:r>
              <w:rPr>
                <w:rFonts w:ascii="맑은 고딕" w:hAnsi="맑은 고딕" w:eastAsia="맑은 고딕"/>
                <w:b/>
                <w:sz w:val="18"/>
              </w:rPr>
              <w:t>출처</w:t>
            </w:r>
          </w:p>
        </w:tc>
      </w:tr>
      <w:tr>
        <w:trPr>
          <w:cantSplit/>
        </w:trPr>
        <w:tc>
          <w:tcPr>
            <w:tcW w:type="dxa" w:w="2835"/>
          </w:tcPr>
          <w:p>
            <w:pPr>
              <w:spacing w:after="0"/>
            </w:pPr>
            <w:r/>
            <w:r>
              <w:rPr>
                <w:rFonts w:ascii="맑은 고딕" w:hAnsi="맑은 고딕" w:eastAsia="맑은 고딕"/>
                <w:b w:val="0"/>
                <w:sz w:val="18"/>
              </w:rPr>
              <w:t>부산은행 모바일 이체 수수료 면제</w:t>
            </w:r>
          </w:p>
        </w:tc>
        <w:tc>
          <w:tcPr>
            <w:tcW w:type="dxa" w:w="4082"/>
          </w:tcPr>
          <w:p>
            <w:pPr>
              <w:spacing w:after="0"/>
            </w:pPr>
            <w:r/>
            <w:r>
              <w:rPr>
                <w:rFonts w:ascii="맑은 고딕" w:hAnsi="맑은 고딕" w:eastAsia="맑은 고딕"/>
                <w:b w:val="0"/>
                <w:sz w:val="18"/>
              </w:rPr>
              <w:t>확인: 2020년 1월 1일부터 개인고객 인터넷·모바일뱅킹 이체 수수료 조건 없이 면제(오픈뱅킹 포함). 현재 유지 여부는 공지 재확인 필요</w:t>
            </w:r>
          </w:p>
        </w:tc>
        <w:tc>
          <w:tcPr>
            <w:tcW w:type="dxa" w:w="2721"/>
          </w:tcPr>
          <w:p>
            <w:pPr>
              <w:spacing w:after="0"/>
            </w:pPr>
            <w:r/>
            <w:r>
              <w:rPr>
                <w:rFonts w:ascii="맑은 고딕" w:hAnsi="맑은 고딕" w:eastAsia="맑은 고딕"/>
                <w:b w:val="0"/>
                <w:sz w:val="18"/>
              </w:rPr>
              <w:t>위키트리(2019.12), MTN(2023.2, 5대 은행 타행이체 수수료 면제)</w:t>
            </w:r>
          </w:p>
        </w:tc>
      </w:tr>
      <w:tr>
        <w:trPr>
          <w:cantSplit/>
        </w:trPr>
        <w:tc>
          <w:tcPr>
            <w:tcW w:type="dxa" w:w="2835"/>
          </w:tcPr>
          <w:p>
            <w:pPr>
              <w:spacing w:after="0"/>
            </w:pPr>
            <w:r/>
            <w:r>
              <w:rPr>
                <w:rFonts w:ascii="맑은 고딕" w:hAnsi="맑은 고딕" w:eastAsia="맑은 고딕"/>
                <w:b w:val="0"/>
                <w:sz w:val="18"/>
              </w:rPr>
              <w:t>부산은행 동백전 운영대행('부산이즈굿 동백전' 앱)</w:t>
            </w:r>
          </w:p>
        </w:tc>
        <w:tc>
          <w:tcPr>
            <w:tcW w:type="dxa" w:w="4082"/>
          </w:tcPr>
          <w:p>
            <w:pPr>
              <w:spacing w:after="0"/>
            </w:pPr>
            <w:r/>
            <w:r>
              <w:rPr>
                <w:rFonts w:ascii="맑은 고딕" w:hAnsi="맑은 고딕" w:eastAsia="맑은 고딕"/>
                <w:b w:val="0"/>
                <w:sz w:val="18"/>
              </w:rPr>
              <w:t>확인: 2022년 2월 우선협상대상자 선정, 사업 기간 2022년 4월~2025년 3월. 이후 계약 여부는 미확인</w:t>
            </w:r>
          </w:p>
        </w:tc>
        <w:tc>
          <w:tcPr>
            <w:tcW w:type="dxa" w:w="2721"/>
          </w:tcPr>
          <w:p>
            <w:pPr>
              <w:spacing w:after="0"/>
            </w:pPr>
            <w:r/>
            <w:r>
              <w:rPr>
                <w:rFonts w:ascii="맑은 고딕" w:hAnsi="맑은 고딕" w:eastAsia="맑은 고딕"/>
                <w:b w:val="0"/>
                <w:sz w:val="18"/>
              </w:rPr>
              <w:t>트위그뉴스(2022.2.16), 메트로신문(2022.3.31), App Store</w:t>
            </w:r>
          </w:p>
        </w:tc>
      </w:tr>
      <w:tr>
        <w:trPr>
          <w:cantSplit/>
        </w:trPr>
        <w:tc>
          <w:tcPr>
            <w:tcW w:type="dxa" w:w="2835"/>
          </w:tcPr>
          <w:p>
            <w:pPr>
              <w:spacing w:after="0"/>
            </w:pPr>
            <w:r/>
            <w:r>
              <w:rPr>
                <w:rFonts w:ascii="맑은 고딕" w:hAnsi="맑은 고딕" w:eastAsia="맑은 고딕"/>
                <w:b w:val="0"/>
                <w:sz w:val="18"/>
              </w:rPr>
              <w:t>롯데자이언츠 승리 연동 예·적금</w:t>
            </w:r>
          </w:p>
        </w:tc>
        <w:tc>
          <w:tcPr>
            <w:tcW w:type="dxa" w:w="4082"/>
          </w:tcPr>
          <w:p>
            <w:pPr>
              <w:spacing w:after="0"/>
            </w:pPr>
            <w:r/>
            <w:r>
              <w:rPr>
                <w:rFonts w:ascii="맑은 고딕" w:hAnsi="맑은 고딕" w:eastAsia="맑은 고딕"/>
                <w:b w:val="0"/>
                <w:sz w:val="18"/>
              </w:rPr>
              <w:t>확인: 'BNK가을야구 예·적금' 출시(2026년 3월), 승리 횟수 연동 우대금리</w:t>
            </w:r>
          </w:p>
        </w:tc>
        <w:tc>
          <w:tcPr>
            <w:tcW w:type="dxa" w:w="2721"/>
          </w:tcPr>
          <w:p>
            <w:pPr>
              <w:spacing w:after="0"/>
            </w:pPr>
            <w:r/>
            <w:r>
              <w:rPr>
                <w:rFonts w:ascii="맑은 고딕" w:hAnsi="맑은 고딕" w:eastAsia="맑은 고딕"/>
                <w:b w:val="0"/>
                <w:sz w:val="18"/>
              </w:rPr>
              <w:t>헤럴드경제(2026.3.29)</w:t>
            </w:r>
          </w:p>
        </w:tc>
      </w:tr>
      <w:tr>
        <w:trPr>
          <w:cantSplit/>
        </w:trPr>
        <w:tc>
          <w:tcPr>
            <w:tcW w:type="dxa" w:w="2835"/>
          </w:tcPr>
          <w:p>
            <w:pPr>
              <w:spacing w:after="0"/>
            </w:pPr>
            <w:r/>
            <w:r>
              <w:rPr>
                <w:rFonts w:ascii="맑은 고딕" w:hAnsi="맑은 고딕" w:eastAsia="맑은 고딕"/>
                <w:b w:val="0"/>
                <w:sz w:val="18"/>
              </w:rPr>
              <w:t>청년미래적금 최고 연 7.0%</w:t>
            </w:r>
          </w:p>
        </w:tc>
        <w:tc>
          <w:tcPr>
            <w:tcW w:type="dxa" w:w="4082"/>
          </w:tcPr>
          <w:p>
            <w:pPr>
              <w:spacing w:after="0"/>
            </w:pPr>
            <w:r/>
            <w:r>
              <w:rPr>
                <w:rFonts w:ascii="맑은 고딕" w:hAnsi="맑은 고딕" w:eastAsia="맑은 고딕"/>
                <w:b w:val="0"/>
                <w:sz w:val="18"/>
              </w:rPr>
              <w:t>확인: 정부 정책상품, 만 19~34세, 기본 연 5.0% + 우대 최대 2.0%p, 부산은행 2026년 6월 출시</w:t>
            </w:r>
          </w:p>
        </w:tc>
        <w:tc>
          <w:tcPr>
            <w:tcW w:type="dxa" w:w="2721"/>
          </w:tcPr>
          <w:p>
            <w:pPr>
              <w:spacing w:after="0"/>
            </w:pPr>
            <w:r/>
            <w:r>
              <w:rPr>
                <w:rFonts w:ascii="맑은 고딕" w:hAnsi="맑은 고딕" w:eastAsia="맑은 고딕"/>
                <w:b w:val="0"/>
                <w:sz w:val="18"/>
              </w:rPr>
              <w:t>한국경제(2026.6.23)</w:t>
            </w:r>
          </w:p>
        </w:tc>
      </w:tr>
      <w:tr>
        <w:trPr>
          <w:cantSplit/>
        </w:trPr>
        <w:tc>
          <w:tcPr>
            <w:tcW w:type="dxa" w:w="2835"/>
          </w:tcPr>
          <w:p>
            <w:pPr>
              <w:spacing w:after="0"/>
            </w:pPr>
            <w:r/>
            <w:r>
              <w:rPr>
                <w:rFonts w:ascii="맑은 고딕" w:hAnsi="맑은 고딕" w:eastAsia="맑은 고딕"/>
                <w:b w:val="0"/>
                <w:sz w:val="18"/>
              </w:rPr>
              <w:t>동백패스 월 4만5천원 초과 교통비 환급</w:t>
            </w:r>
          </w:p>
        </w:tc>
        <w:tc>
          <w:tcPr>
            <w:tcW w:type="dxa" w:w="4082"/>
          </w:tcPr>
          <w:p>
            <w:pPr>
              <w:spacing w:after="0"/>
            </w:pPr>
            <w:r/>
            <w:r>
              <w:rPr>
                <w:rFonts w:ascii="맑은 고딕" w:hAnsi="맑은 고딕" w:eastAsia="맑은 고딕"/>
                <w:b w:val="0"/>
                <w:sz w:val="18"/>
              </w:rPr>
              <w:t>확인: 2026년 4월부터 K-패스와 연계 운영</w:t>
            </w:r>
          </w:p>
        </w:tc>
        <w:tc>
          <w:tcPr>
            <w:tcW w:type="dxa" w:w="2721"/>
          </w:tcPr>
          <w:p>
            <w:pPr>
              <w:spacing w:after="0"/>
            </w:pPr>
            <w:r/>
            <w:r>
              <w:rPr>
                <w:rFonts w:ascii="맑은 고딕" w:hAnsi="맑은 고딕" w:eastAsia="맑은 고딕"/>
                <w:b w:val="0"/>
                <w:sz w:val="18"/>
              </w:rPr>
              <w:t>헤럴드경제(2026.3.3), 카드고릴라</w:t>
            </w:r>
          </w:p>
        </w:tc>
      </w:tr>
      <w:tr>
        <w:trPr>
          <w:cantSplit/>
        </w:trPr>
        <w:tc>
          <w:tcPr>
            <w:tcW w:type="dxa" w:w="2835"/>
          </w:tcPr>
          <w:p>
            <w:pPr>
              <w:spacing w:after="0"/>
            </w:pPr>
            <w:r/>
            <w:r>
              <w:rPr>
                <w:rFonts w:ascii="맑은 고딕" w:hAnsi="맑은 고딕" w:eastAsia="맑은 고딕"/>
                <w:b w:val="0"/>
                <w:sz w:val="18"/>
              </w:rPr>
              <w:t>부산대 등록금 수납 제휴</w:t>
            </w:r>
          </w:p>
        </w:tc>
        <w:tc>
          <w:tcPr>
            <w:tcW w:type="dxa" w:w="4082"/>
          </w:tcPr>
          <w:p>
            <w:pPr>
              <w:spacing w:after="0"/>
            </w:pPr>
            <w:r/>
            <w:r>
              <w:rPr>
                <w:rFonts w:ascii="맑은 고딕" w:hAnsi="맑은 고딕" w:eastAsia="맑은 고딕"/>
                <w:b w:val="0"/>
                <w:sz w:val="18"/>
              </w:rPr>
              <w:t>확인: 2010년 부산대가 농협·부산은행·하나은행과 등록금 신용카드 납부 업무제휴. 학생증 체크카드 제휴는 미확인</w:t>
            </w:r>
          </w:p>
        </w:tc>
        <w:tc>
          <w:tcPr>
            <w:tcW w:type="dxa" w:w="2721"/>
          </w:tcPr>
          <w:p>
            <w:pPr>
              <w:spacing w:after="0"/>
            </w:pPr>
            <w:r/>
            <w:r>
              <w:rPr>
                <w:rFonts w:ascii="맑은 고딕" w:hAnsi="맑은 고딕" w:eastAsia="맑은 고딕"/>
                <w:b w:val="0"/>
                <w:sz w:val="18"/>
              </w:rPr>
              <w:t>대학저널 기사(2010)</w:t>
            </w:r>
          </w:p>
        </w:tc>
      </w:tr>
      <w:tr>
        <w:trPr>
          <w:cantSplit/>
        </w:trPr>
        <w:tc>
          <w:tcPr>
            <w:tcW w:type="dxa" w:w="2835"/>
          </w:tcPr>
          <w:p>
            <w:pPr>
              <w:spacing w:after="0"/>
            </w:pPr>
            <w:r/>
            <w:r>
              <w:rPr>
                <w:rFonts w:ascii="맑은 고딕" w:hAnsi="맑은 고딕" w:eastAsia="맑은 고딕"/>
                <w:b w:val="0"/>
                <w:sz w:val="18"/>
              </w:rPr>
              <w:t>토스 추천 보상</w:t>
            </w:r>
          </w:p>
        </w:tc>
        <w:tc>
          <w:tcPr>
            <w:tcW w:type="dxa" w:w="4082"/>
          </w:tcPr>
          <w:p>
            <w:pPr>
              <w:spacing w:after="0"/>
            </w:pPr>
            <w:r/>
            <w:r>
              <w:rPr>
                <w:rFonts w:ascii="맑은 고딕" w:hAnsi="맑은 고딕" w:eastAsia="맑은 고딕"/>
                <w:b w:val="0"/>
                <w:sz w:val="18"/>
              </w:rPr>
              <w:t>확인: 송금지원금 이벤트로 신규 설치 급증 분석, 토스증권 친구 초대 주식 지급 이벤트(2021)</w:t>
            </w:r>
          </w:p>
        </w:tc>
        <w:tc>
          <w:tcPr>
            <w:tcW w:type="dxa" w:w="2721"/>
          </w:tcPr>
          <w:p>
            <w:pPr>
              <w:spacing w:after="0"/>
            </w:pPr>
            <w:r/>
            <w:r>
              <w:rPr>
                <w:rFonts w:ascii="맑은 고딕" w:hAnsi="맑은 고딕" w:eastAsia="맑은 고딕"/>
                <w:b w:val="0"/>
                <w:sz w:val="18"/>
              </w:rPr>
              <w:t>아이보스 분석 기사, SBS Biz</w:t>
            </w:r>
          </w:p>
        </w:tc>
      </w:tr>
      <w:tr>
        <w:trPr>
          <w:cantSplit/>
        </w:trPr>
        <w:tc>
          <w:tcPr>
            <w:tcW w:type="dxa" w:w="2835"/>
          </w:tcPr>
          <w:p>
            <w:pPr>
              <w:spacing w:after="0"/>
            </w:pPr>
            <w:r/>
            <w:r>
              <w:rPr>
                <w:rFonts w:ascii="맑은 고딕" w:hAnsi="맑은 고딕" w:eastAsia="맑은 고딕"/>
                <w:b w:val="0"/>
                <w:sz w:val="18"/>
              </w:rPr>
              <w:t>토스 만보기 이용자 약 1,150만 명</w:t>
            </w:r>
          </w:p>
        </w:tc>
        <w:tc>
          <w:tcPr>
            <w:tcW w:type="dxa" w:w="4082"/>
          </w:tcPr>
          <w:p>
            <w:pPr>
              <w:spacing w:after="0"/>
            </w:pPr>
            <w:r/>
            <w:r>
              <w:rPr>
                <w:rFonts w:ascii="맑은 고딕" w:hAnsi="맑은 고딕" w:eastAsia="맑은 고딕"/>
                <w:b w:val="0"/>
                <w:sz w:val="18"/>
              </w:rPr>
              <w:t>확인: 토스 '2024년 혜택 결산'(가입자의 40% 이상)</w:t>
            </w:r>
          </w:p>
        </w:tc>
        <w:tc>
          <w:tcPr>
            <w:tcW w:type="dxa" w:w="2721"/>
          </w:tcPr>
          <w:p>
            <w:pPr>
              <w:spacing w:after="0"/>
            </w:pPr>
            <w:r/>
            <w:r>
              <w:rPr>
                <w:rFonts w:ascii="맑은 고딕" w:hAnsi="맑은 고딕" w:eastAsia="맑은 고딕"/>
                <w:b w:val="0"/>
                <w:sz w:val="18"/>
              </w:rPr>
              <w:t>토스피드 2024년 혜택 결산</w:t>
            </w:r>
          </w:p>
        </w:tc>
      </w:tr>
      <w:tr>
        <w:trPr>
          <w:cantSplit/>
        </w:trPr>
        <w:tc>
          <w:tcPr>
            <w:tcW w:type="dxa" w:w="2835"/>
          </w:tcPr>
          <w:p>
            <w:pPr>
              <w:spacing w:after="0"/>
            </w:pPr>
            <w:r/>
            <w:r>
              <w:rPr>
                <w:rFonts w:ascii="맑은 고딕" w:hAnsi="맑은 고딕" w:eastAsia="맑은 고딕"/>
                <w:b w:val="0"/>
                <w:sz w:val="18"/>
              </w:rPr>
              <w:t>계좌이동서비스(자동이체 일괄 변경)</w:t>
            </w:r>
          </w:p>
        </w:tc>
        <w:tc>
          <w:tcPr>
            <w:tcW w:type="dxa" w:w="4082"/>
          </w:tcPr>
          <w:p>
            <w:pPr>
              <w:spacing w:after="0"/>
            </w:pPr>
            <w:r/>
            <w:r>
              <w:rPr>
                <w:rFonts w:ascii="맑은 고딕" w:hAnsi="맑은 고딕" w:eastAsia="맑은 고딕"/>
                <w:b w:val="0"/>
                <w:sz w:val="18"/>
              </w:rPr>
              <w:t>확인: 금융결제원 페이인포에서 자동이체 출금 계좌를 조회·변경. 급여 계좌는 회사에 직접 변경 요청 필요</w:t>
            </w:r>
          </w:p>
        </w:tc>
        <w:tc>
          <w:tcPr>
            <w:tcW w:type="dxa" w:w="2721"/>
          </w:tcPr>
          <w:p>
            <w:pPr>
              <w:spacing w:after="0"/>
            </w:pPr>
            <w:r/>
            <w:r>
              <w:rPr>
                <w:rFonts w:ascii="맑은 고딕" w:hAnsi="맑은 고딕" w:eastAsia="맑은 고딕"/>
                <w:b w:val="0"/>
                <w:sz w:val="18"/>
              </w:rPr>
              <w:t>금융위원회 보도자료, 뉴스토마토</w:t>
            </w:r>
          </w:p>
        </w:tc>
      </w:tr>
    </w:tbl>
    <w:p>
      <w:pPr>
        <w:spacing w:after="40" w:before="0"/>
      </w:pPr>
    </w:p>
    <w:p>
      <w:pPr>
        <w:keepNext/>
        <w:pBdr>
          <w:bottom w:val="single" w:sz="6" w:space="2" w:color="1F3864"/>
        </w:pBdr>
        <w:spacing w:after="80" w:before="200"/>
      </w:pPr>
      <w:r>
        <w:rPr>
          <w:rFonts w:ascii="맑은 고딕" w:hAnsi="맑은 고딕" w:eastAsia="맑은 고딕"/>
          <w:b/>
          <w:color w:val="1F3864"/>
          <w:sz w:val="24"/>
        </w:rPr>
        <w:t>8. 제출 전 팀 확인 사항</w:t>
      </w:r>
    </w:p>
    <w:p>
      <w:pPr>
        <w:pStyle w:val="ListBullet"/>
        <w:spacing w:after="40"/>
      </w:pPr>
      <w:r>
        <w:rPr>
          <w:rFonts w:ascii="맑은 고딕" w:hAnsi="맑은 고딕" w:eastAsia="맑은 고딕"/>
          <w:b/>
          <w:sz w:val="20"/>
        </w:rPr>
        <w:t xml:space="preserve">프로모션 금액은 가정값: </w:t>
      </w:r>
      <w:r>
        <w:rPr>
          <w:rFonts w:ascii="맑은 고딕" w:hAnsi="맑은 고딕" w:eastAsia="맑은 고딕"/>
          <w:b w:val="0"/>
          <w:sz w:val="20"/>
        </w:rPr>
        <w:t>1만원, 5천원, 연 7.0% 등은 응답자가 구체적으로 판단하도록 넣은 설문용 가정값이다. 발표 때 '설문용 가정 금액'이라고 밝힌다.</w:t>
      </w:r>
    </w:p>
    <w:p>
      <w:pPr>
        <w:pStyle w:val="ListBullet"/>
        <w:spacing w:after="40"/>
      </w:pPr>
      <w:r>
        <w:rPr>
          <w:rFonts w:ascii="맑은 고딕" w:hAnsi="맑은 고딕" w:eastAsia="맑은 고딕"/>
          <w:b/>
          <w:sz w:val="20"/>
        </w:rPr>
        <w:t xml:space="preserve">최신 공지 재확인: </w:t>
      </w:r>
      <w:r>
        <w:rPr>
          <w:rFonts w:ascii="맑은 고딕" w:hAnsi="맑은 고딕" w:eastAsia="맑은 고딕"/>
          <w:b w:val="0"/>
          <w:sz w:val="20"/>
        </w:rPr>
        <w:t>부산은행 이체 수수료 면제 유지 여부와 동백전 운영대행의 2025년 4월 이후 계약 여부를 부산은행·부산시 공지로 확인한다. 달라졌다면 근거 표 문장만 고치면 된다.</w:t>
      </w:r>
    </w:p>
    <w:p>
      <w:pPr>
        <w:pStyle w:val="ListBullet"/>
        <w:spacing w:after="40"/>
      </w:pPr>
      <w:r>
        <w:rPr>
          <w:rFonts w:ascii="맑은 고딕" w:hAnsi="맑은 고딕" w:eastAsia="맑은 고딕"/>
          <w:b/>
          <w:sz w:val="20"/>
        </w:rPr>
        <w:t xml:space="preserve">신규 제안 표현 주의: </w:t>
      </w:r>
      <w:r>
        <w:rPr>
          <w:rFonts w:ascii="맑은 고딕" w:hAnsi="맑은 고딕" w:eastAsia="맑은 고딕"/>
          <w:b w:val="0"/>
          <w:sz w:val="20"/>
        </w:rPr>
        <w:t>모바일 학생증 연동·학식 할인, 지역 제휴 상점 할인, 동백전 추가 적립은 협약이 필요한 신규 제안이다. 현재 제공 중인 혜택처럼 설명하지 않는다.</w:t>
      </w:r>
    </w:p>
    <w:p>
      <w:pPr>
        <w:pStyle w:val="ListBullet"/>
        <w:spacing w:after="40"/>
      </w:pPr>
      <w:r>
        <w:rPr>
          <w:rFonts w:ascii="맑은 고딕" w:hAnsi="맑은 고딕" w:eastAsia="맑은 고딕"/>
          <w:b/>
          <w:sz w:val="20"/>
        </w:rPr>
        <w:t xml:space="preserve">배포본 분리: </w:t>
      </w:r>
      <w:r>
        <w:rPr>
          <w:rFonts w:ascii="맑은 고딕" w:hAnsi="맑은 고딕" w:eastAsia="맑은 고딕"/>
          <w:b w:val="0"/>
          <w:sz w:val="20"/>
        </w:rPr>
        <w:t>1~5장과 부록은 교수님 확인용이다. 실제 응답자에게 배포할 때는 '설문지' 쪽부터 '설문이 모두 끝났습니다'까지만 쓴다.</w:t>
      </w:r>
    </w:p>
    <w:p>
      <w:pPr>
        <w:pStyle w:val="ListBullet"/>
        <w:spacing w:after="40"/>
      </w:pPr>
      <w:r>
        <w:rPr>
          <w:rFonts w:ascii="맑은 고딕" w:hAnsi="맑은 고딕" w:eastAsia="맑은 고딕"/>
          <w:b/>
          <w:sz w:val="20"/>
        </w:rPr>
        <w:t xml:space="preserve">Word에서 최종 확인: </w:t>
      </w:r>
      <w:r>
        <w:rPr>
          <w:rFonts w:ascii="맑은 고딕" w:hAnsi="맑은 고딕" w:eastAsia="맑은 고딕"/>
          <w:b w:val="0"/>
          <w:sz w:val="20"/>
        </w:rPr>
        <w:t>원본 서식(맑은 고딕, 표 스타일)을 그대로 복제하였다. Word에서 열면 글꼴 차이로 쪽 나눔이 조금 달라질 수 있으니 인쇄 전에 한 번 넘겨 본다.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