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경영학·영어영문학(통계)·사학(경제)·전기공학·실내환경디자인학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(기업명·근무지역을 가린 설문)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10곳의 발굴·비교분석과 지역기업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25.(계획서 제출 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8주 준비 안내와 전공별 직무 카드를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 정보 부족이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지원 의향 수준에서 탐색적으로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직무별 8주 준비 안내(제안), 직무 카드 사용 과제 결과</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평가자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(에브리타임·전공 모임 모집, 부족하면 학과 학생회)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결격 사유가 있으면 대상에서 제외한다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6018"/>
        <w:gridCol w:w="2961"/>
      </w:tblGrid>
      <w:tr>
        <w:trPr>
          <w:cantSplit/>
          <w:tblHeader/>
        </w:trPr>
        <w:tc>
          <w:tcPr>
            <w:tcW w:type="dxa" w:w="887"/>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601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9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87"/>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블라인드(직장인 익명 앱) 평점 2.0 이하 또는 추천율 25% 미만 (리뷰 30건 이상)</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87"/>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87"/>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6018"/>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기준(성장성·기술력·직무매력·근무환경·글로벌·적합성·기타)과도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익명 후기는 점수의 근거로 쓰지 않는다. 뉴스는 판결·당국 발표나 2곳 이상의 언론 보도로 확인된 사실만 ESG와 지역 가치 영역에 반영하고, 나머지는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설문 응답에는 성명·학번·연락처를 포함하지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사용 과제 종료(11. 14.) 뒤 함께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1명씩,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10. 28.에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이상인 영역은 원문을 다시 대조해 제3 평가자가 사실을 판정한다. 판정이 바뀐 항목은 두 평가자가 고쳐 매기고, 최종 점수는 두 평가자 점수의 평균으로 하며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카드를 쓴 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 해당 기업 카드는 10. 25.까지 다시 제작</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조광요턴, 동화엔텍, 태광후지킨, 파나시아</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송원산업</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4년제 신입을 뽑는 선박·플랜트용 방식 도료 기업으로, 조광페인트와 노르웨이 요턴(JOTUN)이 50%씩 출자한 외국인투자 공동기업이다[14][21][33].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4년제 신입을 뽑는 반도체·산업용 초정밀 밸브 기업이다[7].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4년제 신입을 뽑은 선박평형수·배기가스 처리설비 기업이다[10][36].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설계·토목·구매 등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578"/>
        <w:gridCol w:w="2170"/>
        <w:gridCol w:w="789"/>
        <w:gridCol w:w="4146"/>
      </w:tblGrid>
      <w:tr>
        <w:trPr>
          <w:cantSplit/>
          <w:tblHeader/>
        </w:trPr>
        <w:tc>
          <w:tcPr>
            <w:tcW w:type="dxa" w:w="118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578"/>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414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 2021년 이전이라 기준 밖 참고)과 후속 조치</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결격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 2021년 이전이라 기준 밖 참고)</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영역의 핵심 조건에서 뚜렷한 부정적 사실(평판 점검의 주의 사유 포함)이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479"/>
        <w:gridCol w:w="2959"/>
        <w:gridCol w:w="5428"/>
      </w:tblGrid>
      <w:tr>
        <w:trPr>
          <w:cantSplit/>
          <w:tblHeader/>
        </w:trPr>
        <w:tc>
          <w:tcPr>
            <w:tcW w:type="dxa" w:w="147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가운데 2곳이 결격. 처음 대상 10곳 중 결격 5곳을 교체</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계열 4곳은 제외하고 집단마다 1곳만 남김(화승 집단은 화승코퍼레이션이 예비후보).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파나시아[53][54][29]로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7696"/>
      </w:tblGrid>
      <w:tr>
        <w:trPr>
          <w:cantSplit/>
          <w:tblHeader/>
        </w:trPr>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공시대상기업집단 「세아」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계열 (4곳) — 집단마다 1곳만 남김</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[51][55]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결격이 아닌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[53] </w:t>
      </w:r>
      <w:r>
        <w:rPr>
          <w:rFonts w:ascii="맑은 고딕" w:cs="맑은 고딕" w:eastAsia="맑은 고딕" w:hAnsi="맑은 고딕"/>
          <w:b/>
          <w:bCs/>
          <w:i w:val="false"/>
          <w:iCs w:val="false"/>
          <w:sz w:val="17"/>
          <w:szCs w:val="17"/>
        </w:rPr>
        <w:t xml:space="preserve">부산광역시 「청끌기업」 선정 보도자료(2024)</w:t>
      </w:r>
      <w:r>
        <w:rPr>
          <w:rFonts w:ascii="맑은 고딕" w:cs="맑은 고딕" w:eastAsia="맑은 고딕" w:hAnsi="맑은 고딕"/>
          <w:b w:val="false"/>
          <w:bCs w:val="false"/>
          <w:i w:val="false"/>
          <w:iCs w:val="false"/>
          <w:sz w:val="17"/>
          <w:szCs w:val="17"/>
        </w:rPr>
        <w:t xml:space="preserve">  2024년 7월 28일, 「부산시, ‘2024년 부산 청끌(청년이 끌리는)기업’ 100개 사 선정!」(참고 3 현황에 조광요턴·태광후지킨·파나시아·동화엔텍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https://www.busan.go.kr/nbtnewsBU/1638516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[54] </w:t>
      </w:r>
      <w:r>
        <w:rPr>
          <w:rFonts w:ascii="맑은 고딕" w:cs="맑은 고딕" w:eastAsia="맑은 고딕" w:hAnsi="맑은 고딕"/>
          <w:b/>
          <w:bCs/>
          <w:i w:val="false"/>
          <w:iCs w:val="false"/>
          <w:sz w:val="17"/>
          <w:szCs w:val="17"/>
        </w:rPr>
        <w:t xml:space="preserve">부산광역시 「청끌기업」 발대식 보도자료(2025)</w:t>
      </w:r>
      <w:r>
        <w:rPr>
          <w:rFonts w:ascii="맑은 고딕" w:cs="맑은 고딕" w:eastAsia="맑은 고딕" w:hAnsi="맑은 고딕"/>
          <w:b w:val="false"/>
          <w:bCs w:val="false"/>
          <w:i w:val="false"/>
          <w:iCs w:val="false"/>
          <w:sz w:val="17"/>
          <w:szCs w:val="17"/>
        </w:rPr>
        <w:t xml:space="preserve">  2025년 7월 3일, 「2025년 부산 청끌기업 발대식」, 110개 사 선정(재인증 현황에 조광요턴·파나시아·동화엔텍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https://www.busan.go.kr/nbtnewsBU/1687496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[55] </w:t>
      </w:r>
      <w:r>
        <w:rPr>
          <w:rFonts w:ascii="맑은 고딕" w:cs="맑은 고딕" w:eastAsia="맑은 고딕" w:hAnsi="맑은 고딕"/>
          <w:b/>
          <w:bCs/>
          <w:i w:val="false"/>
          <w:iCs w:val="false"/>
          <w:sz w:val="17"/>
          <w:szCs w:val="17"/>
        </w:rPr>
        <w:t xml:space="preserve">동성화인텍 증선위 제재 보도(MTN)</w:t>
      </w:r>
      <w:r>
        <w:rPr>
          <w:rFonts w:ascii="맑은 고딕" w:cs="맑은 고딕" w:eastAsia="맑은 고딕" w:hAnsi="맑은 고딕"/>
          <w:b w:val="false"/>
          <w:bCs w:val="false"/>
          <w:i w:val="false"/>
          <w:iCs w:val="false"/>
          <w:sz w:val="17"/>
          <w:szCs w:val="17"/>
        </w:rPr>
        <w:t xml:space="preserve">  2025년 11월 4일, 2025. 10. 29. 증권선물위원회가 공사진행률 조작 등 회계처리기준 위반으로 과징금·해임권고·검찰통보를 의결(동성케미컬의 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https://news.mtn.co.kr/news-detail/2025110414575086789</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2026-10-22T16:00:58.855Z</dcterms:created>
  <dcterms:modified xsi:type="dcterms:W3CDTF">2026-10-22T16:00:58.855Z</dcterms:modified>
</cp:coreProperties>
</file>

<file path=docProps/custom.xml><?xml version="1.0" encoding="utf-8"?>
<Properties xmlns="http://schemas.openxmlformats.org/officeDocument/2006/custom-properties" xmlns:vt="http://schemas.openxmlformats.org/officeDocument/2006/docPropsVTypes"/>
</file>