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65DF8DC3" w:rsidR="00FF585B" w:rsidRPr="00DC529C" w:rsidRDefault="00370A8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05FF74AC">
                <wp:simplePos x="0" y="0"/>
                <wp:positionH relativeFrom="column">
                  <wp:posOffset>4438650</wp:posOffset>
                </wp:positionH>
                <wp:positionV relativeFrom="paragraph">
                  <wp:posOffset>245745</wp:posOffset>
                </wp:positionV>
                <wp:extent cx="2266950" cy="77628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776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61AFFCF9" w:rsidR="00370A8B" w:rsidRPr="00370A8B" w:rsidRDefault="00370A8B" w:rsidP="00370A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More than 23,500 individuals have been tested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F4D426" w14:textId="5ACC35F3" w:rsidR="00A64B96" w:rsidRPr="00370A8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There are 579 new cases for a total of 2417.</w:t>
                            </w:r>
                          </w:p>
                          <w:p w14:paraId="7C7B9795" w14:textId="7015FF6F" w:rsidR="00A64B96" w:rsidRPr="00370A8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10 new deaths were reported </w:t>
                            </w:r>
                            <w:r w:rsidR="00370A8B"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a total of </w:t>
                            </w: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25. These include:</w:t>
                            </w:r>
                          </w:p>
                          <w:p w14:paraId="0B30155E" w14:textId="77777777" w:rsidR="00A64B96" w:rsidRPr="00370A8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50s, Essex county, preexisting conditions, hospitalized</w:t>
                            </w:r>
                          </w:p>
                          <w:p w14:paraId="478ECB4D" w14:textId="77777777" w:rsidR="00A64B96" w:rsidRPr="00370A8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80s, Essex county, preexisting conditions, hospitalized</w:t>
                            </w:r>
                          </w:p>
                          <w:p w14:paraId="05C12285" w14:textId="77777777" w:rsidR="00A64B96" w:rsidRPr="00370A8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80s, Middlesex county, unknown preexisting conditions, hospitalized</w:t>
                            </w:r>
                          </w:p>
                          <w:p w14:paraId="49CA420D" w14:textId="38154C8E" w:rsidR="00A64B96" w:rsidRPr="00370A8B" w:rsidRDefault="00A64B96" w:rsidP="00370A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Male, 70s, Middlesex </w:t>
                            </w:r>
                            <w:r w:rsidR="00370A8B"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county, preexisting condition, </w:t>
                            </w: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hospitalization status under investigation</w:t>
                            </w:r>
                          </w:p>
                          <w:p w14:paraId="4E6D5E91" w14:textId="77777777" w:rsidR="00A64B96" w:rsidRPr="00370A8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80s, Hampden county, unknown preexisting conditions, hospitalization status under investigation</w:t>
                            </w:r>
                          </w:p>
                          <w:p w14:paraId="42489F76" w14:textId="77777777" w:rsidR="00A64B96" w:rsidRPr="00370A8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Male, 90s, Suffolk county, preexisting conditions, hospitalized </w:t>
                            </w:r>
                          </w:p>
                          <w:p w14:paraId="5B7FFAB0" w14:textId="77777777" w:rsidR="00A64B96" w:rsidRPr="00370A8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80s, Worcester county, preexisting conditions, hospitalized</w:t>
                            </w:r>
                          </w:p>
                          <w:p w14:paraId="767ADD8A" w14:textId="54F77E77" w:rsidR="00A64B96" w:rsidRPr="00370A8B" w:rsidRDefault="00A64B96" w:rsidP="00370A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70s, Norfolk County, preexisting conditions</w:t>
                            </w:r>
                            <w:r w:rsidR="00370A8B"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hospitalization status under investigation</w:t>
                            </w:r>
                          </w:p>
                          <w:p w14:paraId="6B6D38A1" w14:textId="77777777" w:rsidR="00A64B96" w:rsidRPr="00370A8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80s, Franklin County, unknown preexisting conditions, hospitalization status under investigation</w:t>
                            </w:r>
                          </w:p>
                          <w:p w14:paraId="2CE5AF2A" w14:textId="582257DF" w:rsidR="00A64B96" w:rsidRPr="00370A8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0A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80s, Middlesex county, preexisting conditions, hospitalized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5pt;margin-top:19.35pt;width:178.5pt;height:6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61AFFCF9" w:rsidR="00370A8B" w:rsidRPr="00370A8B" w:rsidRDefault="00370A8B" w:rsidP="00370A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More than 23,500 individuals have been tested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65F4D426" w14:textId="5ACC35F3" w:rsidR="00A64B96" w:rsidRPr="00370A8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There are 579 new cases for a total of 2417</w:t>
                      </w: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C7B9795" w14:textId="7015FF6F" w:rsidR="00A64B96" w:rsidRPr="00370A8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new deaths were reported </w:t>
                      </w:r>
                      <w:r w:rsidR="00370A8B"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for a total of </w:t>
                      </w: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25</w:t>
                      </w: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These include:</w:t>
                      </w:r>
                    </w:p>
                    <w:p w14:paraId="0B30155E" w14:textId="77777777" w:rsidR="00A64B96" w:rsidRPr="00370A8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50s, Essex county, preexisting conditions, hospitalized</w:t>
                      </w:r>
                    </w:p>
                    <w:p w14:paraId="478ECB4D" w14:textId="77777777" w:rsidR="00A64B96" w:rsidRPr="00370A8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80s, Essex county, preexisting conditions, hospitalized</w:t>
                      </w:r>
                    </w:p>
                    <w:p w14:paraId="05C12285" w14:textId="77777777" w:rsidR="00A64B96" w:rsidRPr="00370A8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80s, Middlesex county, unknown preexisting conditions, hospitalized</w:t>
                      </w:r>
                    </w:p>
                    <w:p w14:paraId="49CA420D" w14:textId="38154C8E" w:rsidR="00A64B96" w:rsidRPr="00370A8B" w:rsidRDefault="00A64B96" w:rsidP="00370A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Male, 70s, Middlesex </w:t>
                      </w:r>
                      <w:r w:rsidR="00370A8B"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county, preexisting condition, </w:t>
                      </w: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hospitalization status under investigation</w:t>
                      </w:r>
                    </w:p>
                    <w:p w14:paraId="4E6D5E91" w14:textId="77777777" w:rsidR="00A64B96" w:rsidRPr="00370A8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80s, Hampden county, unknown preexisting conditions, hospitalization status under investigation</w:t>
                      </w:r>
                    </w:p>
                    <w:p w14:paraId="42489F76" w14:textId="77777777" w:rsidR="00A64B96" w:rsidRPr="00370A8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Male, 90s, Suffolk county, preexisting conditions, hospitalized </w:t>
                      </w:r>
                    </w:p>
                    <w:p w14:paraId="5B7FFAB0" w14:textId="77777777" w:rsidR="00A64B96" w:rsidRPr="00370A8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80s, Worcester county, preexisting conditions, hospitalized</w:t>
                      </w:r>
                    </w:p>
                    <w:p w14:paraId="767ADD8A" w14:textId="54F77E77" w:rsidR="00A64B96" w:rsidRPr="00370A8B" w:rsidRDefault="00A64B96" w:rsidP="00370A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70s, Norfolk County, preexisting conditions</w:t>
                      </w:r>
                      <w:r w:rsidR="00370A8B"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hospitalization status under investigation</w:t>
                      </w:r>
                    </w:p>
                    <w:p w14:paraId="6B6D38A1" w14:textId="77777777" w:rsidR="00A64B96" w:rsidRPr="00370A8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80s, Franklin County, unknown preexisting conditions, hospitalization status unde</w:t>
                      </w: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r investigation</w:t>
                      </w:r>
                    </w:p>
                    <w:p w14:paraId="2CE5AF2A" w14:textId="582257DF" w:rsidR="00A64B96" w:rsidRPr="00370A8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70A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80s, Middlesex county, preexisting conditions, hospitalized</w:t>
                      </w:r>
                    </w:p>
                  </w:txbxContent>
                </v:textbox>
              </v:shape>
            </w:pict>
          </mc:Fallback>
        </mc:AlternateContent>
      </w:r>
      <w:r w:rsidR="00FF585B"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March 2</w:t>
      </w:r>
      <w:r w:rsidR="00D209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6</w:t>
      </w:r>
      <w:r w:rsidR="00FF585B"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4AB76AEE" w:rsidR="002A4083" w:rsidRDefault="002A4083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 </w:t>
      </w:r>
      <w:r w:rsidR="00D2090B">
        <w:rPr>
          <w:rFonts w:eastAsia="Times New Roman"/>
          <w:color w:val="000000" w:themeColor="text1"/>
          <w:sz w:val="26"/>
          <w:szCs w:val="26"/>
        </w:rPr>
        <w:t>2417</w:t>
      </w:r>
    </w:p>
    <w:tbl>
      <w:tblPr>
        <w:tblStyle w:val="LightList-Accent1"/>
        <w:tblpPr w:leftFromText="187" w:rightFromText="187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3408"/>
      </w:tblGrid>
      <w:tr w:rsidR="00A64B96" w:rsidRPr="004A779A" w14:paraId="43260F6C" w14:textId="77777777" w:rsidTr="00A6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2AF5954D" w14:textId="77777777" w:rsidR="00A64B96" w:rsidRPr="00494962" w:rsidRDefault="00A64B96" w:rsidP="00A64B96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2A6D6E1D" w14:textId="05CE1A05" w:rsidR="00A64B96" w:rsidRPr="00494962" w:rsidRDefault="00A64B96" w:rsidP="00A64B96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A64B96" w:rsidRPr="004A779A" w14:paraId="48A162A8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62A879D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A64B96" w:rsidRPr="004A779A" w14:paraId="3190CE3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252B1F4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1BF32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67</w:t>
            </w:r>
          </w:p>
        </w:tc>
      </w:tr>
      <w:tr w:rsidR="00A64B96" w:rsidRPr="004A779A" w14:paraId="5A3CDE87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1B42C5EE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001AB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73</w:t>
            </w:r>
          </w:p>
        </w:tc>
      </w:tr>
      <w:tr w:rsidR="00A64B96" w:rsidRPr="004A779A" w14:paraId="232B4309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C31BFFA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B9EB8FB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90</w:t>
            </w:r>
          </w:p>
        </w:tc>
      </w:tr>
      <w:tr w:rsidR="00A64B96" w:rsidRPr="004A779A" w14:paraId="36025647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DB77F8B" w14:textId="77777777" w:rsidR="00A64B96" w:rsidRPr="00571CB4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3A4D815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A64B96" w:rsidRPr="004A779A" w14:paraId="3468871F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2B4A18F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6A6B488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247</w:t>
            </w:r>
          </w:p>
        </w:tc>
      </w:tr>
      <w:tr w:rsidR="00A64B96" w:rsidRPr="004A779A" w14:paraId="2791AE8B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9146F34" w14:textId="77777777" w:rsidR="00A64B96" w:rsidRPr="008B44B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FAE78C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</w:t>
            </w:r>
          </w:p>
        </w:tc>
      </w:tr>
      <w:tr w:rsidR="00A64B96" w:rsidRPr="004A779A" w14:paraId="6B0F13A9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AE1C551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25B7E74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55</w:t>
            </w:r>
          </w:p>
        </w:tc>
      </w:tr>
      <w:tr w:rsidR="00A64B96" w:rsidRPr="004A779A" w14:paraId="17450D19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C722D56" w14:textId="77777777" w:rsidR="00A64B96" w:rsidRPr="00F37293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42084C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</w:t>
            </w:r>
          </w:p>
        </w:tc>
      </w:tr>
      <w:tr w:rsidR="00A64B96" w:rsidRPr="004A779A" w14:paraId="6522753E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14487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2D83B4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538</w:t>
            </w:r>
          </w:p>
        </w:tc>
      </w:tr>
      <w:tr w:rsidR="00A64B96" w:rsidRPr="004A779A" w14:paraId="6A4A748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5F8B817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BB5220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292</w:t>
            </w:r>
          </w:p>
        </w:tc>
      </w:tr>
      <w:tr w:rsidR="00A64B96" w:rsidRPr="004A779A" w14:paraId="6410AEB6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66711C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0E0CE0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138</w:t>
            </w:r>
          </w:p>
        </w:tc>
      </w:tr>
      <w:tr w:rsidR="00A64B96" w:rsidRPr="004A779A" w14:paraId="75FEA584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F0B64F0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2C4FD0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448</w:t>
            </w:r>
          </w:p>
        </w:tc>
      </w:tr>
      <w:tr w:rsidR="00A64B96" w:rsidRPr="004A779A" w14:paraId="36031A42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20B9AE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802473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166</w:t>
            </w:r>
          </w:p>
        </w:tc>
      </w:tr>
      <w:tr w:rsidR="00A64B96" w:rsidRPr="004A779A" w14:paraId="6DDE421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131E95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891457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267</w:t>
            </w:r>
          </w:p>
        </w:tc>
      </w:tr>
      <w:tr w:rsidR="00A64B96" w:rsidRPr="004A779A" w14:paraId="1E59F09C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29B640D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A64B96" w:rsidRPr="004A779A" w14:paraId="32BA54F1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7B7058C0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09CAEB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1218</w:t>
            </w:r>
          </w:p>
        </w:tc>
      </w:tr>
      <w:tr w:rsidR="00A64B96" w:rsidRPr="004A779A" w14:paraId="46E719BD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159648A" w14:textId="77777777" w:rsidR="00A64B96" w:rsidRPr="004A779A" w:rsidRDefault="00A64B96" w:rsidP="00A64B96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D72C472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1197</w:t>
            </w:r>
          </w:p>
        </w:tc>
      </w:tr>
      <w:tr w:rsidR="00A64B96" w:rsidRPr="004A779A" w14:paraId="43F2EA1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AD336B6" w14:textId="77777777" w:rsidR="00A64B96" w:rsidRPr="00DA4BD8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E6AFCC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A64B96" w:rsidRPr="004A779A" w14:paraId="4BAE231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590C65E7" w14:textId="77777777" w:rsidR="00A64B96" w:rsidRPr="00372195" w:rsidRDefault="00A64B96" w:rsidP="00A64B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A64B96" w:rsidRPr="004A779A" w14:paraId="15A9C80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3F5F9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B805781" w14:textId="77777777" w:rsidR="00A64B96" w:rsidRPr="00AF2169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53</w:t>
            </w:r>
          </w:p>
        </w:tc>
      </w:tr>
      <w:tr w:rsidR="00A64B96" w:rsidRPr="004A779A" w14:paraId="4EDFE7A8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D6C92E9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4CB59C" w14:textId="77777777" w:rsidR="00A64B96" w:rsidRPr="00AF2169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425</w:t>
            </w:r>
          </w:p>
        </w:tc>
      </w:tr>
      <w:tr w:rsidR="00A64B96" w:rsidRPr="004A779A" w14:paraId="6405776C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C6E488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F3A20B4" w14:textId="77777777" w:rsidR="00A64B96" w:rsidRPr="00AF2169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433</w:t>
            </w:r>
          </w:p>
        </w:tc>
      </w:tr>
      <w:tr w:rsidR="00A64B96" w:rsidRPr="004A779A" w14:paraId="02A11F1D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0C368DD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9ABF14" w14:textId="77777777" w:rsidR="00A64B96" w:rsidRPr="00AF2169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386</w:t>
            </w:r>
          </w:p>
        </w:tc>
      </w:tr>
      <w:tr w:rsidR="00A64B96" w:rsidRPr="004A779A" w14:paraId="2C2C58BC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A333B87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A7F9964" w14:textId="77777777" w:rsidR="00A64B96" w:rsidRPr="00AF2169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437</w:t>
            </w:r>
          </w:p>
        </w:tc>
      </w:tr>
      <w:tr w:rsidR="00A64B96" w:rsidRPr="004A779A" w14:paraId="13E0D99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55021C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43EAF89" w14:textId="77777777" w:rsidR="00A64B96" w:rsidRPr="00AF2169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329</w:t>
            </w:r>
          </w:p>
        </w:tc>
      </w:tr>
      <w:tr w:rsidR="00A64B96" w:rsidRPr="004A779A" w14:paraId="3EA2C973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072508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2474D5" w14:textId="77777777" w:rsidR="00A64B96" w:rsidRPr="00AF2169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352</w:t>
            </w:r>
          </w:p>
        </w:tc>
      </w:tr>
      <w:tr w:rsidR="00A64B96" w:rsidRPr="004A779A" w14:paraId="3852B3B9" w14:textId="77777777" w:rsidTr="00A64B9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61711DB" w14:textId="77777777" w:rsidR="00A64B96" w:rsidRPr="002E49C4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E14A034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A64B96" w:rsidRPr="004A779A" w14:paraId="50242D84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7C588F6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Exposure</w:t>
            </w:r>
          </w:p>
        </w:tc>
      </w:tr>
      <w:tr w:rsidR="00A64B96" w:rsidRPr="004A779A" w14:paraId="49E2165D" w14:textId="77777777" w:rsidTr="00A64B96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6F30D3A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lastRenderedPageBreak/>
              <w:t xml:space="preserve">Biogen </w:t>
            </w:r>
            <w:r>
              <w:rPr>
                <w:b w:val="0"/>
                <w:szCs w:val="24"/>
              </w:rPr>
              <w:t xml:space="preserve">conference attendees </w:t>
            </w:r>
            <w:r w:rsidRPr="004A779A">
              <w:rPr>
                <w:b w:val="0"/>
                <w:szCs w:val="24"/>
              </w:rPr>
              <w:t>and household contacts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54F2F9C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A64B96" w:rsidRPr="004A779A" w14:paraId="1FB981ED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180CB73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4A779A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9B034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163</w:t>
            </w:r>
          </w:p>
        </w:tc>
      </w:tr>
      <w:tr w:rsidR="00A64B96" w:rsidRPr="004A779A" w14:paraId="7762E1A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ABA2788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Travel related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8B5C5B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93</w:t>
            </w:r>
          </w:p>
        </w:tc>
      </w:tr>
      <w:tr w:rsidR="00A64B96" w:rsidRPr="004A779A" w14:paraId="6EB9F44B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776BDC6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5B1825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2062</w:t>
            </w:r>
          </w:p>
        </w:tc>
      </w:tr>
      <w:tr w:rsidR="00A64B96" w:rsidRPr="004A779A" w14:paraId="4DD77049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EDDCB91" w14:textId="77777777" w:rsidR="00A64B96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A64B96" w:rsidRPr="00062466" w14:paraId="7B2BB4EE" w14:textId="77777777" w:rsidTr="0053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CFB8F0A" w14:textId="77777777" w:rsidR="00A64B96" w:rsidRPr="00022CB3" w:rsidRDefault="00A64B96" w:rsidP="00A64B96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9AB4967" w14:textId="77777777" w:rsidR="00A64B96" w:rsidRPr="00022CB3" w:rsidRDefault="00A64B96" w:rsidP="00A64B96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25</w:t>
            </w:r>
          </w:p>
        </w:tc>
      </w:tr>
      <w:tr w:rsidR="00A64B96" w:rsidRPr="004A779A" w14:paraId="76C669A6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6C8F75C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A64B96" w:rsidRPr="004A779A" w14:paraId="6C3FC978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4CFEE5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F7E603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219</w:t>
            </w:r>
          </w:p>
        </w:tc>
      </w:tr>
      <w:tr w:rsidR="00A64B96" w:rsidRPr="004A779A" w14:paraId="702E52DF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6620EC44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3408" w:type="dxa"/>
            <w:shd w:val="clear" w:color="auto" w:fill="F2F2F2" w:themeFill="background1" w:themeFillShade="F2"/>
            <w:vAlign w:val="center"/>
          </w:tcPr>
          <w:p w14:paraId="1814C74B" w14:textId="77777777" w:rsidR="00A64B96" w:rsidRDefault="00A64B9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366</w:t>
            </w:r>
          </w:p>
        </w:tc>
      </w:tr>
      <w:tr w:rsidR="00A64B96" w:rsidRPr="004A779A" w14:paraId="06579CB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2E31E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3DD66B" w14:textId="77777777" w:rsidR="00A64B96" w:rsidRDefault="00A64B9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1832</w:t>
            </w:r>
          </w:p>
        </w:tc>
      </w:tr>
    </w:tbl>
    <w:p w14:paraId="5A9C9E1D" w14:textId="2F9B5DDC" w:rsidR="00C030DD" w:rsidRPr="00C030DD" w:rsidRDefault="00C030DD" w:rsidP="00C030DD"/>
    <w:p w14:paraId="17F0CAA2" w14:textId="77777777" w:rsidR="008B44BA" w:rsidRPr="008B44BA" w:rsidRDefault="008B44BA" w:rsidP="008B44BA"/>
    <w:p w14:paraId="5288ED58" w14:textId="1D009A43" w:rsidR="002A4083" w:rsidRPr="004A779A" w:rsidRDefault="002A4083" w:rsidP="00DF3AEA">
      <w:pPr>
        <w:pStyle w:val="Heading1"/>
        <w:spacing w:before="0"/>
        <w:rPr>
          <w:color w:val="000000" w:themeColor="text1"/>
          <w:sz w:val="24"/>
          <w:szCs w:val="24"/>
        </w:rPr>
      </w:pPr>
    </w:p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  <w:bookmarkStart w:id="0" w:name="_GoBack"/>
      <w:bookmarkEnd w:id="0"/>
    </w:p>
    <w:p w14:paraId="301C7C37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D62744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5AD3B0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1BDBDB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27246808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8E28C37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213C107E" w14:textId="77777777" w:rsidR="00DA4BD8" w:rsidRDefault="00DA4BD8" w:rsidP="000F2CA5">
      <w:pPr>
        <w:spacing w:after="0"/>
        <w:rPr>
          <w:color w:val="000000"/>
          <w:sz w:val="24"/>
          <w:szCs w:val="24"/>
        </w:rPr>
      </w:pPr>
    </w:p>
    <w:p w14:paraId="39F0E043" w14:textId="77777777" w:rsidR="00DA4BD8" w:rsidRDefault="00DA4BD8" w:rsidP="000F2CA5">
      <w:pPr>
        <w:spacing w:after="0"/>
        <w:rPr>
          <w:color w:val="000000"/>
          <w:sz w:val="24"/>
          <w:szCs w:val="24"/>
        </w:rPr>
      </w:pPr>
    </w:p>
    <w:p w14:paraId="035FFE19" w14:textId="0A4468D3" w:rsidR="00372195" w:rsidRDefault="00C227A4" w:rsidP="000F2CA5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These data are cumulative and current as of</w:t>
      </w:r>
      <w:r w:rsidR="00A64B96">
        <w:rPr>
          <w:color w:val="000000"/>
          <w:sz w:val="24"/>
          <w:szCs w:val="24"/>
        </w:rPr>
        <w:t xml:space="preserve"> March 26, 2020 at</w:t>
      </w:r>
      <w:r>
        <w:rPr>
          <w:color w:val="000000"/>
          <w:sz w:val="24"/>
          <w:szCs w:val="24"/>
        </w:rPr>
        <w:t xml:space="preserve"> 12:30PM.</w:t>
      </w:r>
    </w:p>
    <w:p w14:paraId="14A3C63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9F7401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D625040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AD934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0F8A19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D5C665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95CD133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501003C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16E7B6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6802303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CCBFDB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8D0FDD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4A803D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CA73E6B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712726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29BAAF1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9DC7DAA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ACDE15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498BF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B8B244D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3FC5FD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33F5619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AED22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38C1D1C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E99996E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59FFE8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5F38A2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418"/>
      </w:tblGrid>
      <w:tr w:rsidR="00DA4BD8" w:rsidRPr="00F62C89" w14:paraId="15ADF14A" w14:textId="77777777" w:rsidTr="00FA6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C96B5F9" w14:textId="77777777" w:rsidR="00DA4BD8" w:rsidRPr="00F62C89" w:rsidRDefault="00DA4BD8" w:rsidP="00FA6B18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 w:rsidRPr="00F62C89">
              <w:rPr>
                <w:bCs w:val="0"/>
                <w:sz w:val="24"/>
                <w:szCs w:val="24"/>
              </w:rPr>
              <w:t>Laboratory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6CD00837" w14:textId="7CC1C205" w:rsidR="00DA4BD8" w:rsidRPr="00F62C89" w:rsidRDefault="00DA4BD8" w:rsidP="00FA6B1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14:paraId="03D82271" w14:textId="58457C63" w:rsidR="00DA4BD8" w:rsidRPr="00F62C89" w:rsidRDefault="00DA4BD8" w:rsidP="00FA6B1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DA4BD8" w:rsidRPr="00F62C89" w14:paraId="6E1B9890" w14:textId="77777777" w:rsidTr="00FA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D0E6C1D" w14:textId="77777777" w:rsidR="00DA4BD8" w:rsidRPr="00C030DD" w:rsidRDefault="00DA4BD8" w:rsidP="00FA6B18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567245" w14:textId="17D030C3" w:rsidR="00DA4BD8" w:rsidRPr="00C030DD" w:rsidRDefault="0055593D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 w:rsidR="001D7340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6AA3D3" w14:textId="7BACD1D0" w:rsidR="00DA4BD8" w:rsidRPr="00C030DD" w:rsidRDefault="001D7340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5313</w:t>
            </w:r>
          </w:p>
        </w:tc>
      </w:tr>
      <w:tr w:rsidR="00DA4BD8" w:rsidRPr="00F62C89" w14:paraId="3B08D7A7" w14:textId="77777777" w:rsidTr="00FA6B1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B8AE05" w14:textId="77777777" w:rsidR="00DA4BD8" w:rsidRPr="00C030DD" w:rsidRDefault="00DA4BD8" w:rsidP="00FA6B18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F8CA43" w14:textId="77777777" w:rsidR="00DA4BD8" w:rsidRPr="00C030DD" w:rsidRDefault="00DA4BD8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743B04" w14:textId="4714389E" w:rsidR="00DA4BD8" w:rsidRPr="00C030DD" w:rsidRDefault="00DA4BD8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  <w:r w:rsidR="0055593D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DA4BD8" w:rsidRPr="00F62C89" w14:paraId="2F49C488" w14:textId="77777777" w:rsidTr="00FA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D45FB48" w14:textId="77777777" w:rsidR="00DA4BD8" w:rsidRPr="00C030DD" w:rsidRDefault="00DA4BD8" w:rsidP="00FA6B18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C5DC49" w14:textId="3D5BB5B3" w:rsidR="00DA4BD8" w:rsidRPr="00C030DD" w:rsidRDefault="001D7340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208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A0C246" w14:textId="75CD793B" w:rsidR="00DA4BD8" w:rsidRPr="00C030DD" w:rsidRDefault="001D7340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1607</w:t>
            </w:r>
          </w:p>
        </w:tc>
      </w:tr>
      <w:tr w:rsidR="00DA4BD8" w:rsidRPr="00F62C89" w14:paraId="4B1BE64D" w14:textId="77777777" w:rsidTr="00FA6B1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056BB9" w14:textId="77777777" w:rsidR="00DA4BD8" w:rsidRPr="00C030DD" w:rsidRDefault="00DA4BD8" w:rsidP="00FA6B18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027BA3" w14:textId="77777777" w:rsidR="00DA4BD8" w:rsidRPr="00C030DD" w:rsidRDefault="00DA4BD8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4DF779" w14:textId="77777777" w:rsidR="00DA4BD8" w:rsidRPr="00C030DD" w:rsidRDefault="00DA4BD8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55593D" w:rsidRPr="00F62C89" w14:paraId="1ADDF695" w14:textId="77777777" w:rsidTr="00FA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7667A6" w14:textId="54A5D55D" w:rsidR="0055593D" w:rsidRPr="0055593D" w:rsidRDefault="0055593D" w:rsidP="00FA6B18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7303CD" w14:textId="40A6F20A" w:rsidR="0055593D" w:rsidRDefault="001D7340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65A7AB" w14:textId="7A818A68" w:rsidR="0055593D" w:rsidRDefault="001D7340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91</w:t>
            </w:r>
          </w:p>
        </w:tc>
      </w:tr>
      <w:tr w:rsidR="00176B39" w:rsidRPr="00F62C89" w14:paraId="1C498090" w14:textId="77777777" w:rsidTr="00FA6B1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642BC59" w14:textId="2539B753" w:rsidR="00176B39" w:rsidRPr="00176B39" w:rsidRDefault="00176B39" w:rsidP="00FA6B18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  <w:r w:rsidR="00EC7096">
              <w:rPr>
                <w:b w:val="0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4057C1" w14:textId="323AC165" w:rsidR="00176B39" w:rsidRDefault="00EC7096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737482" w14:textId="131A1C28" w:rsidR="00176B39" w:rsidRDefault="00EC7096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*</w:t>
            </w:r>
          </w:p>
        </w:tc>
      </w:tr>
      <w:tr w:rsidR="00DA4BD8" w:rsidRPr="00F62C89" w14:paraId="65A24F64" w14:textId="77777777" w:rsidTr="00FA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85EEFDE" w14:textId="77777777" w:rsidR="00DA4BD8" w:rsidRPr="00C030DD" w:rsidRDefault="00DA4BD8" w:rsidP="00FA6B18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24CD99" w14:textId="77777777" w:rsidR="00DA4BD8" w:rsidRPr="00C030DD" w:rsidRDefault="00DA4BD8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F03807" w14:textId="77777777" w:rsidR="00DA4BD8" w:rsidRPr="00C030DD" w:rsidRDefault="00DA4BD8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DA4BD8" w:rsidRPr="00F62C89" w14:paraId="6EC1A377" w14:textId="77777777" w:rsidTr="00FA6B1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ECC89EB" w14:textId="77777777" w:rsidR="00DA4BD8" w:rsidRPr="00C030DD" w:rsidRDefault="00DA4BD8" w:rsidP="00FA6B18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D3C700" w14:textId="7C5B2414" w:rsidR="00DA4BD8" w:rsidRPr="00C030DD" w:rsidRDefault="001D7340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86218C" w14:textId="0B09AA41" w:rsidR="00DA4BD8" w:rsidRPr="00C030DD" w:rsidRDefault="001D7340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66</w:t>
            </w:r>
          </w:p>
        </w:tc>
      </w:tr>
      <w:tr w:rsidR="00DA4BD8" w:rsidRPr="00F62C89" w14:paraId="2499709A" w14:textId="77777777" w:rsidTr="00FA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5A90180" w14:textId="77777777" w:rsidR="00DA4BD8" w:rsidRDefault="00DA4BD8" w:rsidP="00FA6B18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AB39E2" w14:textId="7F059CEF" w:rsidR="00DA4BD8" w:rsidRPr="00C030DD" w:rsidRDefault="001D7340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140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D8574A" w14:textId="46F85922" w:rsidR="00DA4BD8" w:rsidRPr="00C030DD" w:rsidRDefault="0055593D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</w:t>
            </w:r>
            <w:r w:rsidR="001D7340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DA4BD8" w:rsidRPr="00F62C89" w14:paraId="15164429" w14:textId="77777777" w:rsidTr="00FA6B1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D8178B2" w14:textId="77777777" w:rsidR="00DA4BD8" w:rsidRDefault="00DA4BD8" w:rsidP="00FA6B18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0019B5" w14:textId="67290FC2" w:rsidR="00DA4BD8" w:rsidRPr="00C030DD" w:rsidRDefault="001D7340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E714D0" w14:textId="2C6C0A3C" w:rsidR="00DA4BD8" w:rsidRPr="00C030DD" w:rsidRDefault="001D7340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207</w:t>
            </w:r>
          </w:p>
        </w:tc>
      </w:tr>
      <w:tr w:rsidR="00DA4BD8" w:rsidRPr="00F62C89" w14:paraId="0773C91D" w14:textId="77777777" w:rsidTr="00FA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2418F25" w14:textId="77777777" w:rsidR="00DA4BD8" w:rsidRPr="00C030DD" w:rsidRDefault="00DA4BD8" w:rsidP="00FA6B18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1D4565" w14:textId="6FBF498B" w:rsidR="00DA4BD8" w:rsidRPr="00C030DD" w:rsidRDefault="001D7340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FC346C" w14:textId="66C81363" w:rsidR="00DA4BD8" w:rsidRPr="00C030DD" w:rsidRDefault="001D7340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1239</w:t>
            </w:r>
          </w:p>
        </w:tc>
      </w:tr>
      <w:tr w:rsidR="00DA4BD8" w:rsidRPr="00F62C89" w14:paraId="60AA8EF6" w14:textId="77777777" w:rsidTr="00FA6B1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FF701A6" w14:textId="77777777" w:rsidR="00DA4BD8" w:rsidRDefault="00DA4BD8" w:rsidP="00FA6B18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072C46" w14:textId="6C3D7D66" w:rsidR="00DA4BD8" w:rsidRDefault="001D7340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1138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3A53B8" w14:textId="6C03D2F2" w:rsidR="00DA4BD8" w:rsidRPr="00C030DD" w:rsidRDefault="001D7340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11409</w:t>
            </w:r>
          </w:p>
        </w:tc>
      </w:tr>
      <w:tr w:rsidR="00DA4BD8" w:rsidRPr="00F62C89" w14:paraId="40CD4953" w14:textId="77777777" w:rsidTr="00FA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A3B5A66" w14:textId="77777777" w:rsidR="00DA4BD8" w:rsidRDefault="00DA4BD8" w:rsidP="00FA6B18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07A52B" w14:textId="7007A3FE" w:rsidR="00DA4BD8" w:rsidRPr="00C030DD" w:rsidRDefault="001D7340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58193F" w14:textId="3646E5E2" w:rsidR="00DA4BD8" w:rsidRPr="00C030DD" w:rsidRDefault="001D7340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648</w:t>
            </w:r>
          </w:p>
        </w:tc>
      </w:tr>
      <w:tr w:rsidR="00DA4BD8" w:rsidRPr="00F62C89" w14:paraId="2FE7C039" w14:textId="77777777" w:rsidTr="00FA6B1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E82BAEA" w14:textId="77777777" w:rsidR="00DA4BD8" w:rsidRDefault="00DA4BD8" w:rsidP="00FA6B18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495A9B" w14:textId="2DF416A5" w:rsidR="00DA4BD8" w:rsidRDefault="0055593D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25BD9B" w14:textId="4C5BFFDA" w:rsidR="00DA4BD8" w:rsidRPr="00C030DD" w:rsidRDefault="001D7340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740</w:t>
            </w:r>
          </w:p>
        </w:tc>
      </w:tr>
      <w:tr w:rsidR="00DA4BD8" w:rsidRPr="00F62C89" w14:paraId="512282D9" w14:textId="77777777" w:rsidTr="00FA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8C6072C" w14:textId="77777777" w:rsidR="00DA4BD8" w:rsidRPr="00022CB3" w:rsidRDefault="00DA4BD8" w:rsidP="00FA6B18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00E133B" w14:textId="4581F1AB" w:rsidR="00DA4BD8" w:rsidRPr="00022CB3" w:rsidRDefault="0055593D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1D734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0475A9" w14:textId="6DF558A3" w:rsidR="00DA4BD8" w:rsidRPr="00022CB3" w:rsidRDefault="001D7340" w:rsidP="00FA6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72</w:t>
            </w:r>
          </w:p>
        </w:tc>
      </w:tr>
      <w:tr w:rsidR="00DA4BD8" w:rsidRPr="00F62C89" w14:paraId="59779708" w14:textId="77777777" w:rsidTr="00FA6B1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02B059" w14:textId="7B6B73F6" w:rsidR="00DA4BD8" w:rsidRPr="00686652" w:rsidRDefault="00DA4BD8" w:rsidP="00FA6B18">
            <w:pPr>
              <w:rPr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</w:t>
            </w:r>
            <w:r w:rsidR="00FA6B18">
              <w:rPr>
                <w:color w:val="000000"/>
                <w:sz w:val="24"/>
                <w:szCs w:val="24"/>
              </w:rPr>
              <w:t>*</w:t>
            </w:r>
            <w:r w:rsidR="006C1C0F">
              <w:rPr>
                <w:color w:val="000000"/>
                <w:sz w:val="24"/>
                <w:szCs w:val="24"/>
              </w:rPr>
              <w:t>*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34274A" w14:textId="7BA4FFC9" w:rsidR="00DA4BD8" w:rsidRPr="00686652" w:rsidRDefault="001D7340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2417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D41D5E" w14:textId="079A83D1" w:rsidR="00DA4BD8" w:rsidRPr="00686652" w:rsidRDefault="001D7340" w:rsidP="00FA6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23621</w:t>
            </w:r>
          </w:p>
        </w:tc>
      </w:tr>
    </w:tbl>
    <w:p w14:paraId="60D6AB2B" w14:textId="77777777" w:rsidR="00FA6B18" w:rsidRDefault="00FA6B18" w:rsidP="000F2CA5">
      <w:pPr>
        <w:spacing w:after="0"/>
        <w:rPr>
          <w:color w:val="000000"/>
          <w:sz w:val="24"/>
          <w:szCs w:val="24"/>
        </w:rPr>
      </w:pPr>
    </w:p>
    <w:p w14:paraId="6AD9C256" w14:textId="77777777" w:rsidR="00FA6B18" w:rsidRDefault="00FA6B18" w:rsidP="000F2CA5">
      <w:pPr>
        <w:spacing w:after="0"/>
        <w:rPr>
          <w:color w:val="000000"/>
          <w:sz w:val="24"/>
          <w:szCs w:val="24"/>
        </w:rPr>
      </w:pPr>
    </w:p>
    <w:p w14:paraId="2E0C828C" w14:textId="77777777" w:rsidR="00FA6B18" w:rsidRDefault="00FA6B18" w:rsidP="000F2CA5">
      <w:pPr>
        <w:spacing w:after="0"/>
        <w:rPr>
          <w:color w:val="000000"/>
          <w:sz w:val="24"/>
          <w:szCs w:val="24"/>
        </w:rPr>
      </w:pPr>
    </w:p>
    <w:p w14:paraId="58C213BB" w14:textId="77777777" w:rsidR="00FA6B18" w:rsidRDefault="00FA6B18" w:rsidP="000F2CA5">
      <w:pPr>
        <w:spacing w:after="0"/>
        <w:rPr>
          <w:color w:val="000000"/>
          <w:sz w:val="24"/>
          <w:szCs w:val="24"/>
        </w:rPr>
      </w:pPr>
    </w:p>
    <w:p w14:paraId="319933AD" w14:textId="77777777" w:rsidR="00FA6B18" w:rsidRDefault="00FA6B18" w:rsidP="000F2CA5">
      <w:pPr>
        <w:spacing w:after="0"/>
        <w:rPr>
          <w:color w:val="000000"/>
          <w:sz w:val="24"/>
          <w:szCs w:val="24"/>
        </w:rPr>
      </w:pPr>
    </w:p>
    <w:p w14:paraId="4105D232" w14:textId="7D761208" w:rsidR="000F2CA5" w:rsidRDefault="000F2CA5" w:rsidP="000F2CA5">
      <w:pPr>
        <w:spacing w:after="0"/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 xml:space="preserve">Data are cumulative and current as of </w:t>
      </w:r>
      <w:r w:rsidR="00A64B96">
        <w:rPr>
          <w:color w:val="000000"/>
          <w:sz w:val="24"/>
          <w:szCs w:val="24"/>
        </w:rPr>
        <w:t xml:space="preserve">March 26, 2020 at </w:t>
      </w:r>
      <w:r w:rsidRPr="00F62C89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2</w:t>
      </w:r>
      <w:r w:rsidRPr="00F62C89">
        <w:rPr>
          <w:color w:val="000000"/>
          <w:sz w:val="24"/>
          <w:szCs w:val="24"/>
        </w:rPr>
        <w:t>:30</w:t>
      </w:r>
      <w:r>
        <w:rPr>
          <w:color w:val="000000"/>
          <w:sz w:val="24"/>
          <w:szCs w:val="24"/>
        </w:rPr>
        <w:t>P</w:t>
      </w:r>
      <w:r w:rsidRPr="00F62C89">
        <w:rPr>
          <w:color w:val="000000"/>
          <w:sz w:val="24"/>
          <w:szCs w:val="24"/>
        </w:rPr>
        <w:t>M.</w:t>
      </w:r>
    </w:p>
    <w:p w14:paraId="359EC3A1" w14:textId="77777777" w:rsidR="00A64B96" w:rsidRPr="00F62C89" w:rsidRDefault="00A64B96" w:rsidP="000F2CA5">
      <w:pPr>
        <w:spacing w:after="0"/>
        <w:rPr>
          <w:color w:val="000000"/>
          <w:sz w:val="24"/>
          <w:szCs w:val="24"/>
        </w:rPr>
      </w:pPr>
    </w:p>
    <w:p w14:paraId="00E5D174" w14:textId="359A88FB" w:rsidR="006C1C0F" w:rsidRDefault="000F2CA5" w:rsidP="000F2CA5">
      <w:pPr>
        <w:rPr>
          <w:color w:val="000000" w:themeColor="text1"/>
          <w:sz w:val="24"/>
          <w:szCs w:val="24"/>
        </w:rPr>
      </w:pPr>
      <w:r w:rsidRPr="00FA6B18">
        <w:rPr>
          <w:color w:val="000000" w:themeColor="text1"/>
          <w:sz w:val="24"/>
          <w:szCs w:val="24"/>
        </w:rPr>
        <w:t>*</w:t>
      </w:r>
      <w:r w:rsidR="006C1C0F" w:rsidRPr="00FA6B18">
        <w:rPr>
          <w:rFonts w:ascii="Calibri" w:hAnsi="Calibri" w:cs="Calibri"/>
          <w:color w:val="000000" w:themeColor="text1"/>
          <w:sz w:val="24"/>
          <w:szCs w:val="24"/>
        </w:rPr>
        <w:t xml:space="preserve"> Broad </w:t>
      </w:r>
      <w:r w:rsidR="006C1C0F">
        <w:rPr>
          <w:rFonts w:ascii="Calibri" w:hAnsi="Calibri" w:cs="Calibri"/>
          <w:color w:val="000000" w:themeColor="text1"/>
          <w:sz w:val="24"/>
          <w:szCs w:val="24"/>
        </w:rPr>
        <w:t xml:space="preserve">Institute </w:t>
      </w:r>
      <w:r w:rsidR="006C1C0F" w:rsidRPr="00FA6B18">
        <w:rPr>
          <w:rFonts w:ascii="Calibri" w:hAnsi="Calibri" w:cs="Calibri"/>
          <w:color w:val="000000" w:themeColor="text1"/>
          <w:sz w:val="24"/>
          <w:szCs w:val="24"/>
        </w:rPr>
        <w:t>CRSP</w:t>
      </w:r>
      <w:r w:rsidR="006C1C0F">
        <w:rPr>
          <w:rFonts w:ascii="Calibri" w:hAnsi="Calibri" w:cs="Calibri"/>
          <w:color w:val="000000" w:themeColor="text1"/>
          <w:sz w:val="24"/>
          <w:szCs w:val="24"/>
        </w:rPr>
        <w:t xml:space="preserve"> electronic data reporting under validation.</w:t>
      </w:r>
    </w:p>
    <w:p w14:paraId="0B194F59" w14:textId="115B0382" w:rsidR="00EC7096" w:rsidRPr="00FA6B18" w:rsidRDefault="006C1C0F" w:rsidP="000F2C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**</w:t>
      </w:r>
      <w:r w:rsidR="00FA6B18" w:rsidRPr="00FA6B18">
        <w:rPr>
          <w:rFonts w:ascii="Calibri" w:hAnsi="Calibri" w:cs="Calibri"/>
          <w:color w:val="000000" w:themeColor="text1"/>
          <w:sz w:val="24"/>
          <w:szCs w:val="24"/>
        </w:rPr>
        <w:t xml:space="preserve"> Other commercial and clinical lab</w:t>
      </w:r>
      <w:r w:rsidR="00FA6B18">
        <w:rPr>
          <w:rFonts w:ascii="Calibri" w:hAnsi="Calibri" w:cs="Calibri"/>
          <w:color w:val="000000" w:themeColor="text1"/>
          <w:sz w:val="24"/>
          <w:szCs w:val="24"/>
        </w:rPr>
        <w:t>oratories</w:t>
      </w:r>
      <w:r w:rsidR="00FA6B18" w:rsidRPr="00FA6B18">
        <w:rPr>
          <w:rFonts w:ascii="Calibri" w:hAnsi="Calibri" w:cs="Calibri"/>
          <w:color w:val="000000" w:themeColor="text1"/>
          <w:sz w:val="24"/>
          <w:szCs w:val="24"/>
        </w:rPr>
        <w:t xml:space="preserve"> continue to come on line. As lab</w:t>
      </w:r>
      <w:r w:rsidR="00FA6B18">
        <w:rPr>
          <w:rFonts w:ascii="Calibri" w:hAnsi="Calibri" w:cs="Calibri"/>
          <w:color w:val="000000" w:themeColor="text1"/>
          <w:sz w:val="24"/>
          <w:szCs w:val="24"/>
        </w:rPr>
        <w:t>oratory</w:t>
      </w:r>
      <w:r w:rsidR="00FA6B18" w:rsidRPr="00FA6B18">
        <w:rPr>
          <w:rFonts w:ascii="Calibri" w:hAnsi="Calibri" w:cs="Calibri"/>
          <w:color w:val="000000" w:themeColor="text1"/>
          <w:sz w:val="24"/>
          <w:szCs w:val="24"/>
        </w:rPr>
        <w:t xml:space="preserve"> testing results are processed and the source verified, they will be integrated into this daily report.</w:t>
      </w:r>
    </w:p>
    <w:p w14:paraId="36156E58" w14:textId="77777777" w:rsidR="00686652" w:rsidRPr="00F62C89" w:rsidRDefault="00686652" w:rsidP="000F2CA5">
      <w:pPr>
        <w:rPr>
          <w:color w:val="000000"/>
          <w:sz w:val="24"/>
          <w:szCs w:val="24"/>
        </w:rPr>
      </w:pPr>
    </w:p>
    <w:p w14:paraId="6A20ED60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785D15E5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p w14:paraId="7A79DBC6" w14:textId="77777777" w:rsidR="000F2CA5" w:rsidRPr="00F62C89" w:rsidRDefault="000F2CA5">
      <w:pPr>
        <w:rPr>
          <w:color w:val="000000"/>
          <w:sz w:val="24"/>
          <w:szCs w:val="24"/>
        </w:rPr>
      </w:pPr>
    </w:p>
    <w:sectPr w:rsidR="000F2CA5" w:rsidRPr="00F62C89" w:rsidSect="00A64B96">
      <w:headerReference w:type="default" r:id="rId9"/>
      <w:footerReference w:type="default" r:id="rId10"/>
      <w:pgSz w:w="12240" w:h="15840"/>
      <w:pgMar w:top="1152" w:right="108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11A9E" w14:textId="77777777" w:rsidR="00326FD4" w:rsidRDefault="00326FD4" w:rsidP="00C428CF">
      <w:pPr>
        <w:spacing w:after="0" w:line="240" w:lineRule="auto"/>
      </w:pPr>
      <w:r>
        <w:separator/>
      </w:r>
    </w:p>
  </w:endnote>
  <w:endnote w:type="continuationSeparator" w:id="0">
    <w:p w14:paraId="6C66478A" w14:textId="77777777" w:rsidR="00326FD4" w:rsidRDefault="00326FD4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6A59C" w14:textId="77777777" w:rsidR="00326FD4" w:rsidRDefault="00326FD4" w:rsidP="00C428CF">
      <w:pPr>
        <w:spacing w:after="0" w:line="240" w:lineRule="auto"/>
      </w:pPr>
      <w:r>
        <w:separator/>
      </w:r>
    </w:p>
  </w:footnote>
  <w:footnote w:type="continuationSeparator" w:id="0">
    <w:p w14:paraId="506820DC" w14:textId="77777777" w:rsidR="00326FD4" w:rsidRDefault="00326FD4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22CB3"/>
    <w:rsid w:val="000339E2"/>
    <w:rsid w:val="00062466"/>
    <w:rsid w:val="00076BBC"/>
    <w:rsid w:val="00086263"/>
    <w:rsid w:val="000A2320"/>
    <w:rsid w:val="000C1F7D"/>
    <w:rsid w:val="000F296B"/>
    <w:rsid w:val="000F2CA5"/>
    <w:rsid w:val="000F38CF"/>
    <w:rsid w:val="00106D33"/>
    <w:rsid w:val="00162288"/>
    <w:rsid w:val="00176B39"/>
    <w:rsid w:val="00185450"/>
    <w:rsid w:val="00193B8A"/>
    <w:rsid w:val="001A7CC2"/>
    <w:rsid w:val="001B4CBF"/>
    <w:rsid w:val="001D7340"/>
    <w:rsid w:val="001E5216"/>
    <w:rsid w:val="001F65E4"/>
    <w:rsid w:val="00206C08"/>
    <w:rsid w:val="0023271A"/>
    <w:rsid w:val="00234BAE"/>
    <w:rsid w:val="002802FD"/>
    <w:rsid w:val="0028099C"/>
    <w:rsid w:val="002823CC"/>
    <w:rsid w:val="002927E8"/>
    <w:rsid w:val="002A4083"/>
    <w:rsid w:val="002A52CD"/>
    <w:rsid w:val="002C391C"/>
    <w:rsid w:val="002D2349"/>
    <w:rsid w:val="002D31EA"/>
    <w:rsid w:val="002E49C4"/>
    <w:rsid w:val="002E6685"/>
    <w:rsid w:val="00326FD4"/>
    <w:rsid w:val="003421CB"/>
    <w:rsid w:val="00354FC5"/>
    <w:rsid w:val="003627F9"/>
    <w:rsid w:val="00366DCA"/>
    <w:rsid w:val="003704D7"/>
    <w:rsid w:val="00370A8B"/>
    <w:rsid w:val="00372195"/>
    <w:rsid w:val="00393FC7"/>
    <w:rsid w:val="003A5F21"/>
    <w:rsid w:val="003A6AEC"/>
    <w:rsid w:val="003B126C"/>
    <w:rsid w:val="003B64D2"/>
    <w:rsid w:val="003C63E1"/>
    <w:rsid w:val="00401DC0"/>
    <w:rsid w:val="00423123"/>
    <w:rsid w:val="00430859"/>
    <w:rsid w:val="00437622"/>
    <w:rsid w:val="00451DBA"/>
    <w:rsid w:val="00494962"/>
    <w:rsid w:val="004A779A"/>
    <w:rsid w:val="004F3BBB"/>
    <w:rsid w:val="004F438C"/>
    <w:rsid w:val="004F6289"/>
    <w:rsid w:val="00533FEB"/>
    <w:rsid w:val="00534808"/>
    <w:rsid w:val="00535A16"/>
    <w:rsid w:val="0055593D"/>
    <w:rsid w:val="00571CB4"/>
    <w:rsid w:val="005777E5"/>
    <w:rsid w:val="005854FD"/>
    <w:rsid w:val="005856AF"/>
    <w:rsid w:val="0059493E"/>
    <w:rsid w:val="0059744F"/>
    <w:rsid w:val="005B303E"/>
    <w:rsid w:val="005B7F1A"/>
    <w:rsid w:val="005D03F3"/>
    <w:rsid w:val="005D201C"/>
    <w:rsid w:val="0061464B"/>
    <w:rsid w:val="006162C2"/>
    <w:rsid w:val="006175F4"/>
    <w:rsid w:val="00635548"/>
    <w:rsid w:val="0064105D"/>
    <w:rsid w:val="00651DC5"/>
    <w:rsid w:val="006616C6"/>
    <w:rsid w:val="00665B0F"/>
    <w:rsid w:val="006757A1"/>
    <w:rsid w:val="00686652"/>
    <w:rsid w:val="00691A0F"/>
    <w:rsid w:val="006A3F59"/>
    <w:rsid w:val="006C1C0F"/>
    <w:rsid w:val="006D5706"/>
    <w:rsid w:val="006D6700"/>
    <w:rsid w:val="006E1EB1"/>
    <w:rsid w:val="006F43CA"/>
    <w:rsid w:val="006F5CEB"/>
    <w:rsid w:val="00702A76"/>
    <w:rsid w:val="0072456A"/>
    <w:rsid w:val="00730CB4"/>
    <w:rsid w:val="00753197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14168"/>
    <w:rsid w:val="00817112"/>
    <w:rsid w:val="00825558"/>
    <w:rsid w:val="00830C34"/>
    <w:rsid w:val="00841A08"/>
    <w:rsid w:val="0087298A"/>
    <w:rsid w:val="008761D9"/>
    <w:rsid w:val="008A31EB"/>
    <w:rsid w:val="008B44BA"/>
    <w:rsid w:val="008B7ED9"/>
    <w:rsid w:val="008E3971"/>
    <w:rsid w:val="00901438"/>
    <w:rsid w:val="009129AC"/>
    <w:rsid w:val="009533C2"/>
    <w:rsid w:val="0095678B"/>
    <w:rsid w:val="00957FC2"/>
    <w:rsid w:val="009665A4"/>
    <w:rsid w:val="00970F39"/>
    <w:rsid w:val="0098711D"/>
    <w:rsid w:val="009A139E"/>
    <w:rsid w:val="009C3922"/>
    <w:rsid w:val="009C3F06"/>
    <w:rsid w:val="009C6ADB"/>
    <w:rsid w:val="009D0C80"/>
    <w:rsid w:val="009D0D49"/>
    <w:rsid w:val="009D6FD8"/>
    <w:rsid w:val="009E339A"/>
    <w:rsid w:val="009F790D"/>
    <w:rsid w:val="00A151F3"/>
    <w:rsid w:val="00A40C2B"/>
    <w:rsid w:val="00A64B96"/>
    <w:rsid w:val="00A757B6"/>
    <w:rsid w:val="00AA0758"/>
    <w:rsid w:val="00AA1F7D"/>
    <w:rsid w:val="00AA7FB0"/>
    <w:rsid w:val="00AD574D"/>
    <w:rsid w:val="00AD69C7"/>
    <w:rsid w:val="00AD76AC"/>
    <w:rsid w:val="00AE395D"/>
    <w:rsid w:val="00AF2169"/>
    <w:rsid w:val="00B23D67"/>
    <w:rsid w:val="00B27B0A"/>
    <w:rsid w:val="00B31601"/>
    <w:rsid w:val="00B41743"/>
    <w:rsid w:val="00B534AD"/>
    <w:rsid w:val="00B87301"/>
    <w:rsid w:val="00C030DD"/>
    <w:rsid w:val="00C150C6"/>
    <w:rsid w:val="00C227A4"/>
    <w:rsid w:val="00C428CF"/>
    <w:rsid w:val="00C56AA3"/>
    <w:rsid w:val="00C65CD9"/>
    <w:rsid w:val="00C715C2"/>
    <w:rsid w:val="00C74038"/>
    <w:rsid w:val="00C92A5A"/>
    <w:rsid w:val="00CA6A77"/>
    <w:rsid w:val="00CC638D"/>
    <w:rsid w:val="00CD3B32"/>
    <w:rsid w:val="00CE49CF"/>
    <w:rsid w:val="00CF1F93"/>
    <w:rsid w:val="00D14124"/>
    <w:rsid w:val="00D2090B"/>
    <w:rsid w:val="00D24271"/>
    <w:rsid w:val="00D27410"/>
    <w:rsid w:val="00D53DFF"/>
    <w:rsid w:val="00D54D33"/>
    <w:rsid w:val="00D558E3"/>
    <w:rsid w:val="00D661FB"/>
    <w:rsid w:val="00D67D7E"/>
    <w:rsid w:val="00D76E41"/>
    <w:rsid w:val="00D77C16"/>
    <w:rsid w:val="00D96B82"/>
    <w:rsid w:val="00DA4BD8"/>
    <w:rsid w:val="00DA7222"/>
    <w:rsid w:val="00DB11CB"/>
    <w:rsid w:val="00DC529C"/>
    <w:rsid w:val="00DD60A2"/>
    <w:rsid w:val="00DF1504"/>
    <w:rsid w:val="00DF3AEA"/>
    <w:rsid w:val="00E10901"/>
    <w:rsid w:val="00E150C4"/>
    <w:rsid w:val="00E25B66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C7096"/>
    <w:rsid w:val="00EE2099"/>
    <w:rsid w:val="00EE2D56"/>
    <w:rsid w:val="00EE3545"/>
    <w:rsid w:val="00F04CE6"/>
    <w:rsid w:val="00F17C34"/>
    <w:rsid w:val="00F324D4"/>
    <w:rsid w:val="00F37293"/>
    <w:rsid w:val="00F53A8F"/>
    <w:rsid w:val="00F62C89"/>
    <w:rsid w:val="00F90F22"/>
    <w:rsid w:val="00FA6B18"/>
    <w:rsid w:val="00FA6CDE"/>
    <w:rsid w:val="00FD0E02"/>
    <w:rsid w:val="00FE1DD9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043512-A410-4848-8522-ABA2520E4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5</cp:revision>
  <cp:lastPrinted>2020-03-18T15:10:00Z</cp:lastPrinted>
  <dcterms:created xsi:type="dcterms:W3CDTF">2020-03-26T18:06:00Z</dcterms:created>
  <dcterms:modified xsi:type="dcterms:W3CDTF">2020-03-26T19:11:00Z</dcterms:modified>
</cp:coreProperties>
</file>