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C’est la solution posée par l’article 1120 du Code civil. Voir aussi, dans le même sens, art. 2288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622-7 et  R. 314-7 du CSI.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173-8 du CSS.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1110-1 du CSP.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753-1 et 12 du CESEDA.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art. L. 1424-71 et L1 CGCT.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121-2 CJA.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L.124-1 du Code de l'environnement.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861</TotalTime>
  <Application>LibreOffice/7.4.2.3$Linux_X86_64 LibreOffice_project/40$Build-3</Application>
  <AppVersion>15.0000</AppVersion>
  <Pages>1</Pages>
  <Words>203</Words>
  <Characters>831</Characters>
  <CharactersWithSpaces>1014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>E N</cp:lastModifiedBy>
  <dcterms:modified xsi:type="dcterms:W3CDTF">2022-08-29T22:05:34Z</dcterms:modified>
  <cp:revision>52</cp:revision>
  <dc:subject/>
  <dc:title/>
</cp:coreProperties>
</file>