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112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3-12, 12-4-6,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1038 et 1289-2 CPC.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385-2, R. 343-4 et A421-13 C. assur.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L. 112-1 C. pr. Int. Article L. 331-24 du CPI.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131-4 et 225-7-1 c. pén.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Art. 694-4-1 et R57-6-1 CPP.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121-14, R. 742-52 C. conso.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860</TotalTime>
  <Application>LibreOffice/6.0.7.3$Windows_X86_64 LibreOffice_project/dc89aa7a9eabfd848af146d5086077aeed2ae4a5</Application>
  <Pages>1</Pages>
  <Words>160</Words>
  <Characters>675</Characters>
  <CharactersWithSpaces>821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2021-11-10T06:36:15Z</dcterms:modified>
  <cp:revision>40</cp:revision>
  <dc:subject/>
  <dc:title/>
</cp:coreProperties>
</file>