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24C7" w14:textId="335A33ED" w:rsidR="00A61370" w:rsidRPr="009539DD" w:rsidRDefault="00E364A5" w:rsidP="00A61370">
      <w:pPr>
        <w:rPr>
          <w:b/>
          <w:bCs/>
        </w:rPr>
      </w:pPr>
      <w:r>
        <w:rPr>
          <w:b/>
          <w:bCs/>
        </w:rPr>
        <w:t xml:space="preserve">Lección </w:t>
      </w:r>
      <w:r w:rsidR="002F1A10" w:rsidRPr="009539DD">
        <w:rPr>
          <w:b/>
          <w:bCs/>
        </w:rPr>
        <w:t>1.3</w:t>
      </w:r>
      <w:r>
        <w:rPr>
          <w:b/>
          <w:bCs/>
        </w:rPr>
        <w:t>:</w:t>
      </w:r>
      <w:r w:rsidR="002F1A10" w:rsidRPr="009539DD">
        <w:rPr>
          <w:b/>
          <w:bCs/>
        </w:rPr>
        <w:t xml:space="preserve"> Ética, seguridad y responsabilidad (el “Human in the Loop”)</w:t>
      </w:r>
    </w:p>
    <w:p w14:paraId="466800D8" w14:textId="77777777" w:rsidR="009539DD" w:rsidRPr="009539DD" w:rsidRDefault="009539DD" w:rsidP="009539DD">
      <w:pPr>
        <w:rPr>
          <w:b/>
          <w:bCs/>
        </w:rPr>
      </w:pPr>
      <w:r w:rsidRPr="009539DD">
        <w:rPr>
          <w:b/>
          <w:bCs/>
        </w:rPr>
        <w:t>Marco legal básico: privacidad de datos estudiantiles</w:t>
      </w:r>
    </w:p>
    <w:p w14:paraId="1EF53277" w14:textId="77777777" w:rsidR="009539DD" w:rsidRPr="009539DD" w:rsidRDefault="009539DD" w:rsidP="009539DD">
      <w:r w:rsidRPr="009539DD">
        <w:t>Al usar aplicaciones basadas en LLM en contextos educativos, uno de los puntos más sensibles es la protección de la </w:t>
      </w:r>
      <w:r w:rsidRPr="009539DD">
        <w:rPr>
          <w:i/>
          <w:iCs/>
        </w:rPr>
        <w:t>información personal identificable (PII)</w:t>
      </w:r>
      <w:r w:rsidRPr="009539DD">
        <w:t> de los estudiantes. En Estados Unidos, la normativa clave es la </w:t>
      </w:r>
      <w:r w:rsidRPr="009539DD">
        <w:rPr>
          <w:i/>
          <w:iCs/>
        </w:rPr>
        <w:t>Family Educational Rights and Privacy Act</w:t>
      </w:r>
      <w:r w:rsidRPr="009539DD">
        <w:t> (FERPA), que protege los expedientes educativos y regula quién puede acceder a ellos y con qué fines. La discusión sobre privacidad en entornos digitales es crítica; Im y Chee (2012) advierten sobre la importancia de proteger la identidad de los sujetos en investigaciones y prácticas mediadas por internet, principio aplicable al manejo de datos estudiantiles en plataformas de IA.</w:t>
      </w:r>
    </w:p>
    <w:p w14:paraId="3F9DCA75" w14:textId="2D8B2DA2" w:rsidR="009539DD" w:rsidRPr="009539DD" w:rsidRDefault="00BB2E1B" w:rsidP="009539DD">
      <w:pPr>
        <w:rPr>
          <w:b/>
          <w:bCs/>
        </w:rPr>
      </w:pPr>
      <w:r>
        <w:rPr>
          <w:noProof/>
        </w:rPr>
        <w:drawing>
          <wp:anchor distT="0" distB="0" distL="114300" distR="114300" simplePos="0" relativeHeight="251658240" behindDoc="1" locked="0" layoutInCell="1" allowOverlap="1" wp14:anchorId="5971CD39" wp14:editId="0CB9908A">
            <wp:simplePos x="0" y="0"/>
            <wp:positionH relativeFrom="column">
              <wp:posOffset>-5080</wp:posOffset>
            </wp:positionH>
            <wp:positionV relativeFrom="paragraph">
              <wp:posOffset>2540</wp:posOffset>
            </wp:positionV>
            <wp:extent cx="3277235" cy="3277235"/>
            <wp:effectExtent l="0" t="0" r="0" b="0"/>
            <wp:wrapTight wrapText="bothSides">
              <wp:wrapPolygon edited="0">
                <wp:start x="0" y="0"/>
                <wp:lineTo x="0" y="21470"/>
                <wp:lineTo x="21470" y="21470"/>
                <wp:lineTo x="21470" y="0"/>
                <wp:lineTo x="0" y="0"/>
              </wp:wrapPolygon>
            </wp:wrapTight>
            <wp:docPr id="181174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77235" cy="3277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39DD" w:rsidRPr="009539DD">
        <w:rPr>
          <w:b/>
          <w:bCs/>
        </w:rPr>
        <w:t>Desde la perspectiva docente, esto implica que:</w:t>
      </w:r>
    </w:p>
    <w:p w14:paraId="236CD26E" w14:textId="1C5CA157" w:rsidR="009539DD" w:rsidRPr="009539DD" w:rsidRDefault="009539DD" w:rsidP="009539DD">
      <w:pPr>
        <w:numPr>
          <w:ilvl w:val="0"/>
          <w:numId w:val="49"/>
        </w:numPr>
      </w:pPr>
      <w:r w:rsidRPr="009539DD">
        <w:t>No se deben introducir en bots, asistentes o formularios que usen LLM nombres completos de estudiantes, números de identificación, direcciones u otra PII cuando se redactan informes, comentarios o planes de intervención.</w:t>
      </w:r>
    </w:p>
    <w:p w14:paraId="21E4A4BA" w14:textId="0BB3009E" w:rsidR="009539DD" w:rsidRDefault="009539DD" w:rsidP="009539DD">
      <w:pPr>
        <w:numPr>
          <w:ilvl w:val="0"/>
          <w:numId w:val="49"/>
        </w:numPr>
      </w:pPr>
      <w:r w:rsidRPr="009539DD">
        <w:t>Es preferible anonimizar o generalizar la información (por ejemplo, “Estudiante A con dificultad en lectura” en lugar de nombre y apellido), incluso cuando la plataforma promete cumplir estándares de seguridad.</w:t>
      </w:r>
    </w:p>
    <w:p w14:paraId="248D716A" w14:textId="522CF5F5" w:rsidR="009539DD" w:rsidRPr="009539DD" w:rsidRDefault="009539DD" w:rsidP="009539DD">
      <w:r w:rsidRPr="009539DD">
        <w:t>En Puerto Rico, además de FERPA, el Departamento de Educación emite cartas circulares y reglamentos que regulan el manejo de expedientes y datos digitales de estudiantes; estas políticas suelen exigir confidencialidad, uso de canales institucionales y protección contra accesos no autorizados. Para los LLM, esto se traduce en que deben verse como </w:t>
      </w:r>
      <w:r w:rsidRPr="009539DD">
        <w:rPr>
          <w:i/>
          <w:iCs/>
        </w:rPr>
        <w:t>herramientas de redacción y apoyo</w:t>
      </w:r>
      <w:r w:rsidRPr="009539DD">
        <w:t>, no como repositorios de datos sensibles.</w:t>
      </w:r>
    </w:p>
    <w:p w14:paraId="243E2BEA" w14:textId="77777777" w:rsidR="009539DD" w:rsidRPr="009539DD" w:rsidRDefault="009539DD" w:rsidP="009539DD">
      <w:pPr>
        <w:rPr>
          <w:b/>
          <w:bCs/>
        </w:rPr>
      </w:pPr>
      <w:r w:rsidRPr="009539DD">
        <w:rPr>
          <w:b/>
          <w:bCs/>
        </w:rPr>
        <w:t>Sesgos algorítmicos y dependencia tecnológica</w:t>
      </w:r>
    </w:p>
    <w:p w14:paraId="00277CE3" w14:textId="77777777" w:rsidR="009539DD" w:rsidRPr="009539DD" w:rsidRDefault="009539DD" w:rsidP="009539DD">
      <w:r w:rsidRPr="009539DD">
        <w:t>La investigación en ética de IA ha mostrado que los LLM pueden reproducir </w:t>
      </w:r>
      <w:r w:rsidRPr="009539DD">
        <w:rPr>
          <w:i/>
          <w:iCs/>
        </w:rPr>
        <w:t>sesgos</w:t>
      </w:r>
      <w:r w:rsidRPr="009539DD">
        <w:t xml:space="preserve"> presentes en los datos con los que fueron entrenados, lo que puede </w:t>
      </w:r>
      <w:r w:rsidRPr="009539DD">
        <w:lastRenderedPageBreak/>
        <w:t>reflejar estereotipos de género, raza, idioma o contexto socioeconómico (Russell &amp; Norvig, 2020). En educación, esto puede aparecer en:</w:t>
      </w:r>
    </w:p>
    <w:p w14:paraId="05EED1E2" w14:textId="771D61BA" w:rsidR="009539DD" w:rsidRPr="009539DD" w:rsidRDefault="002F474B" w:rsidP="009539DD">
      <w:pPr>
        <w:numPr>
          <w:ilvl w:val="0"/>
          <w:numId w:val="50"/>
        </w:numPr>
      </w:pPr>
      <w:r>
        <w:t>e</w:t>
      </w:r>
      <w:r w:rsidR="009539DD" w:rsidRPr="009539DD">
        <w:t>jemplos que privilegian ciertas culturas o realidades,</w:t>
      </w:r>
    </w:p>
    <w:p w14:paraId="35F66E2C" w14:textId="77777777" w:rsidR="009539DD" w:rsidRPr="009539DD" w:rsidRDefault="009539DD" w:rsidP="009539DD">
      <w:pPr>
        <w:numPr>
          <w:ilvl w:val="0"/>
          <w:numId w:val="50"/>
        </w:numPr>
      </w:pPr>
      <w:r w:rsidRPr="009539DD">
        <w:t>respuestas que minimizan o distorsionan experiencias de minorías,</w:t>
      </w:r>
    </w:p>
    <w:p w14:paraId="49ED5022" w14:textId="77777777" w:rsidR="009539DD" w:rsidRPr="009539DD" w:rsidRDefault="009539DD" w:rsidP="009539DD">
      <w:pPr>
        <w:numPr>
          <w:ilvl w:val="0"/>
          <w:numId w:val="50"/>
        </w:numPr>
      </w:pPr>
      <w:r w:rsidRPr="009539DD">
        <w:t>sugerencias de actividades que no encajan en el contexto local de la escuela.</w:t>
      </w:r>
    </w:p>
    <w:p w14:paraId="43014B92" w14:textId="55E96030" w:rsidR="00ED430B" w:rsidRPr="00ED430B" w:rsidRDefault="00ED430B" w:rsidP="009539DD">
      <w:pPr>
        <w:rPr>
          <w:b/>
          <w:bCs/>
        </w:rPr>
      </w:pPr>
      <w:r w:rsidRPr="00ED430B">
        <w:rPr>
          <w:b/>
          <w:bCs/>
        </w:rPr>
        <w:t>Riesgo de dependencia</w:t>
      </w:r>
    </w:p>
    <w:p w14:paraId="3027FA40" w14:textId="15ADAE38" w:rsidR="009539DD" w:rsidRPr="009539DD" w:rsidRDefault="00ED430B" w:rsidP="009539DD">
      <w:r>
        <w:t>E</w:t>
      </w:r>
      <w:r w:rsidR="009539DD" w:rsidRPr="009539DD">
        <w:t>xiste el riesgo de </w:t>
      </w:r>
      <w:r w:rsidR="009539DD" w:rsidRPr="009539DD">
        <w:rPr>
          <w:i/>
          <w:iCs/>
        </w:rPr>
        <w:t>dependencia tecnológica</w:t>
      </w:r>
      <w:r w:rsidR="009539DD" w:rsidRPr="009539DD">
        <w:t>, en la que el docente delega cada vez más la creatividad y el juicio pedagógico al sistema. Hargreaves y Fullan (2012) discuten la importancia del capital profesional y advierten contra la erosión de la autonomía docente si las herramientas externas reemplazan el juicio experto en lugar de aumentarlo. Valli y Zafiropoulos (2024) añaden que la aceptación de estas herramientas depende de su utilidad percibida, pero debe equilibrarse para evitar una confianza ciega en la automatización.</w:t>
      </w:r>
    </w:p>
    <w:p w14:paraId="4EC12A90" w14:textId="0275C478" w:rsidR="00ED430B" w:rsidRPr="00ED430B" w:rsidRDefault="00ED430B" w:rsidP="009539DD">
      <w:pPr>
        <w:rPr>
          <w:b/>
          <w:bCs/>
        </w:rPr>
      </w:pPr>
      <w:r w:rsidRPr="00ED430B">
        <w:rPr>
          <w:b/>
          <w:bCs/>
        </w:rPr>
        <w:t>Recomendaciones institucionales</w:t>
      </w:r>
    </w:p>
    <w:p w14:paraId="08B8312F" w14:textId="751C038D" w:rsidR="009539DD" w:rsidRPr="009539DD" w:rsidRDefault="009539DD" w:rsidP="009539DD">
      <w:r w:rsidRPr="009539DD">
        <w:t>Por eso se recomienda que las instituciones formen a los docentes en:</w:t>
      </w:r>
    </w:p>
    <w:p w14:paraId="1D4399F0" w14:textId="77777777" w:rsidR="009539DD" w:rsidRPr="009539DD" w:rsidRDefault="009539DD" w:rsidP="009539DD">
      <w:pPr>
        <w:numPr>
          <w:ilvl w:val="0"/>
          <w:numId w:val="51"/>
        </w:numPr>
      </w:pPr>
      <w:r w:rsidRPr="009539DD">
        <w:t>reconocer posibles sesgos en las respuestas de la IA,</w:t>
      </w:r>
    </w:p>
    <w:p w14:paraId="45755910" w14:textId="77777777" w:rsidR="009539DD" w:rsidRPr="009539DD" w:rsidRDefault="009539DD" w:rsidP="009539DD">
      <w:pPr>
        <w:numPr>
          <w:ilvl w:val="0"/>
          <w:numId w:val="51"/>
        </w:numPr>
      </w:pPr>
      <w:r w:rsidRPr="009539DD">
        <w:t>contrastar con fuentes diversas y con la realidad del estudiantado,</w:t>
      </w:r>
    </w:p>
    <w:p w14:paraId="41E6A297" w14:textId="77777777" w:rsidR="009539DD" w:rsidRPr="009539DD" w:rsidRDefault="009539DD" w:rsidP="009539DD">
      <w:pPr>
        <w:numPr>
          <w:ilvl w:val="0"/>
          <w:numId w:val="51"/>
        </w:numPr>
      </w:pPr>
      <w:r w:rsidRPr="009539DD">
        <w:t>mantener un uso crítico y consciente, evitando la sustitución total de la reflexión pedagógica por sugerencias automáticas.</w:t>
      </w:r>
    </w:p>
    <w:p w14:paraId="1A607EA9" w14:textId="77777777" w:rsidR="009539DD" w:rsidRPr="009539DD" w:rsidRDefault="009539DD" w:rsidP="009539DD">
      <w:pPr>
        <w:rPr>
          <w:b/>
          <w:bCs/>
        </w:rPr>
      </w:pPr>
      <w:r w:rsidRPr="009539DD">
        <w:rPr>
          <w:b/>
          <w:bCs/>
        </w:rPr>
        <w:t>El docente como “experto validador” (Human in the Loop)</w:t>
      </w:r>
    </w:p>
    <w:p w14:paraId="02E7E095" w14:textId="77777777" w:rsidR="009539DD" w:rsidRPr="009539DD" w:rsidRDefault="009539DD" w:rsidP="009539DD">
      <w:r w:rsidRPr="009539DD">
        <w:t>Muchos marcos actuales de uso responsable de IA en educación promueven el modelo de 'human in the loop' (Alhalthli et al., 2025; Seufert et al., 2022), donde la tecnología asume tareas de apoyo, pero la decisión final recae siempre en la persona profesional. En el caso de los LLM, esto significa que el maestro cooperador:</w:t>
      </w:r>
    </w:p>
    <w:p w14:paraId="149F56AD" w14:textId="5B42AC45" w:rsidR="009539DD" w:rsidRPr="009539DD" w:rsidRDefault="009349F4" w:rsidP="009539DD">
      <w:pPr>
        <w:numPr>
          <w:ilvl w:val="0"/>
          <w:numId w:val="52"/>
        </w:numPr>
      </w:pPr>
      <w:r w:rsidRPr="009349F4">
        <w:t>Genera borradores</w:t>
      </w:r>
      <w:r>
        <w:t>: U</w:t>
      </w:r>
      <w:r w:rsidR="009539DD" w:rsidRPr="009539DD">
        <w:t>sa bots y asistentes basados en LLM para generar borradores de planificaciones, actividades, rúbricas o retroalimentación</w:t>
      </w:r>
      <w:r>
        <w:t>.</w:t>
      </w:r>
    </w:p>
    <w:p w14:paraId="3FCCD436" w14:textId="6CB4B0FA" w:rsidR="009539DD" w:rsidRPr="009539DD" w:rsidRDefault="00257C07" w:rsidP="009539DD">
      <w:pPr>
        <w:numPr>
          <w:ilvl w:val="0"/>
          <w:numId w:val="52"/>
        </w:numPr>
      </w:pPr>
      <w:r>
        <w:t>R</w:t>
      </w:r>
      <w:r w:rsidR="009539DD" w:rsidRPr="009539DD">
        <w:t xml:space="preserve">evisa cuidadosamente el contenido: </w:t>
      </w:r>
      <w:r>
        <w:t>E</w:t>
      </w:r>
      <w:r w:rsidR="009539DD" w:rsidRPr="009539DD">
        <w:t>xactitud factual, alineación curricular, pertinencia cultural, adecuación al nivel del grupo, tono y lenguaje,</w:t>
      </w:r>
    </w:p>
    <w:p w14:paraId="2FF5F04A" w14:textId="2ABA4D4E" w:rsidR="009539DD" w:rsidRPr="009539DD" w:rsidRDefault="00424D79" w:rsidP="009539DD">
      <w:pPr>
        <w:numPr>
          <w:ilvl w:val="0"/>
          <w:numId w:val="52"/>
        </w:numPr>
      </w:pPr>
      <w:r w:rsidRPr="00424D79">
        <w:t>Decide y adapta</w:t>
      </w:r>
      <w:r>
        <w:t>: C</w:t>
      </w:r>
      <w:r w:rsidR="009539DD" w:rsidRPr="009539DD">
        <w:t>orrige, adapta o descarta según su criterio profesional, antes de que ese material llegue a estudiantes, familias o documentos oficiales.</w:t>
      </w:r>
    </w:p>
    <w:p w14:paraId="0910041A" w14:textId="77777777" w:rsidR="009539DD" w:rsidRPr="009539DD" w:rsidRDefault="009539DD" w:rsidP="009539DD">
      <w:r w:rsidRPr="009539DD">
        <w:lastRenderedPageBreak/>
        <w:t>En términos pedagógicos, el rol del maestro pasa de ser solo “productor desde cero” a ser </w:t>
      </w:r>
      <w:r w:rsidRPr="009539DD">
        <w:rPr>
          <w:i/>
          <w:iCs/>
        </w:rPr>
        <w:t>curador y editor experto</w:t>
      </w:r>
      <w:r w:rsidRPr="009539DD">
        <w:t>, que sabe formular buenas solicitudes (</w:t>
      </w:r>
      <w:r w:rsidRPr="009539DD">
        <w:rPr>
          <w:i/>
          <w:iCs/>
        </w:rPr>
        <w:t>prompts</w:t>
      </w:r>
      <w:r w:rsidRPr="009539DD">
        <w:t>), evaluar el resultado y decidir qué se incorpora y qué no. Esto preserva la centralidad del juicio docente, fortaleciendo su capital profesional (Hargreaves &amp; Fullan, 2012), y reduce el riesgo de que “salga del LLM” información no verificada o inapropiada para el contexto escolar.</w:t>
      </w:r>
    </w:p>
    <w:p w14:paraId="467A1C48" w14:textId="77777777" w:rsidR="009539DD" w:rsidRPr="009539DD" w:rsidRDefault="009539DD" w:rsidP="009539DD"/>
    <w:p w14:paraId="559BD0E5" w14:textId="3953E21F" w:rsidR="009539DD" w:rsidRDefault="00424D79" w:rsidP="009539DD">
      <w:pPr>
        <w:rPr>
          <w:b/>
          <w:bCs/>
        </w:rPr>
      </w:pPr>
      <w:r w:rsidRPr="00424D79">
        <w:rPr>
          <w:b/>
          <w:bCs/>
        </w:rPr>
        <w:t>Conceptos a repasar</w:t>
      </w:r>
    </w:p>
    <w:p w14:paraId="2D946493" w14:textId="7AD590CA" w:rsidR="00424D79" w:rsidRDefault="00424D79" w:rsidP="009539DD">
      <w:pPr>
        <w:rPr>
          <w:b/>
          <w:bCs/>
        </w:rPr>
      </w:pPr>
      <w:r w:rsidRPr="00424D79">
        <w:rPr>
          <w:b/>
          <w:bCs/>
        </w:rPr>
        <w:t>Privacidad de datos estudiantiles / FERPA</w:t>
      </w:r>
    </w:p>
    <w:p w14:paraId="42C5A800" w14:textId="77777777" w:rsidR="00A80D10" w:rsidRPr="00A80D10" w:rsidRDefault="00A80D10" w:rsidP="00A80D10">
      <w:r w:rsidRPr="00A80D10">
        <w:t>Privacidad de datos estudiantiles / FERPA se refiere al marco legal que protege la confidencialidad de los expedientes educativos y de la información personal identificable de los estudiantes. FERPA (Family Educational Rights and Privacy Act) es una ley federal de EE. UU. que otorga a los padres y, luego, a los estudiantes elegibles, el derecho a acceder a sus registros educativos, solicitar su corrección y controlar, con ciertas excepciones, la divulgación de información identificable contenida en esos registros. En la práctica educativa, implica que las escuelas y el personal docente no pueden revelar PII de estudiantes a terceros (incluyendo plataformas de IA) sin consentimiento escrito, salvo en situaciones específicas previstas por la norma.</w:t>
      </w:r>
    </w:p>
    <w:p w14:paraId="33CADCF8" w14:textId="77777777" w:rsidR="00A80D10" w:rsidRPr="00A80D10" w:rsidRDefault="00A80D10" w:rsidP="00A80D10">
      <w:pPr>
        <w:rPr>
          <w:lang w:val="en-US"/>
        </w:rPr>
      </w:pPr>
      <w:r w:rsidRPr="00A80D10">
        <w:rPr>
          <w:rFonts w:ascii="Arial" w:hAnsi="Arial" w:cs="Arial"/>
          <w:lang w:val="en-US"/>
        </w:rPr>
        <w:t>​</w:t>
      </w:r>
    </w:p>
    <w:p w14:paraId="088BEF30" w14:textId="77777777" w:rsidR="00A80D10" w:rsidRPr="00A80D10" w:rsidRDefault="00A80D10" w:rsidP="00A80D10">
      <w:pPr>
        <w:rPr>
          <w:lang w:val="en-US"/>
        </w:rPr>
      </w:pPr>
      <w:r w:rsidRPr="00A80D10">
        <w:rPr>
          <w:lang w:val="en-US"/>
        </w:rPr>
        <w:t>U.S. Department of Education. (2011). FERPA – Protecting student privacy. Student Privacy Policy Office. https://studentprivacy.ed.gov/ferpa</w:t>
      </w:r>
    </w:p>
    <w:p w14:paraId="10B2CC7E" w14:textId="40FB74C9" w:rsidR="00424D79" w:rsidRDefault="00A80D10" w:rsidP="009539DD">
      <w:pPr>
        <w:rPr>
          <w:b/>
          <w:bCs/>
        </w:rPr>
      </w:pPr>
      <w:r w:rsidRPr="00A80D10">
        <w:rPr>
          <w:b/>
          <w:bCs/>
        </w:rPr>
        <w:t>Información personal identificable (PII)</w:t>
      </w:r>
    </w:p>
    <w:p w14:paraId="47B9719E" w14:textId="77777777" w:rsidR="00A80D10" w:rsidRPr="00A80D10" w:rsidRDefault="00A80D10" w:rsidP="00A80D10">
      <w:r w:rsidRPr="00A80D10">
        <w:t>Información personal identificable (PII) es cualquier dato que puede usarse para distinguir o rastrear la identidad de una persona, ya sea de forma directa (por ejemplo, nombre, número de identificación, dirección) o indirecta (como fecha y lugar de nacimiento, combinación de características), especialmente cuando estos datos se mantienen en registros educativos. En el marco de FERPA, la PII incluye nombre del estudiante o de sus familiares, dirección, identificadores personales (número de estudiante, SSN, registros biométricos) y otros datos que, solos o combinados, permitan identificar razonablemente a un estudiante.</w:t>
      </w:r>
    </w:p>
    <w:p w14:paraId="30488BFF" w14:textId="77777777" w:rsidR="00A80D10" w:rsidRPr="00A80D10" w:rsidRDefault="00A80D10" w:rsidP="00A80D10">
      <w:pPr>
        <w:rPr>
          <w:lang w:val="en-US"/>
        </w:rPr>
      </w:pPr>
      <w:r w:rsidRPr="00A80D10">
        <w:rPr>
          <w:rFonts w:ascii="Arial" w:hAnsi="Arial" w:cs="Arial"/>
          <w:lang w:val="en-US"/>
        </w:rPr>
        <w:t>​</w:t>
      </w:r>
    </w:p>
    <w:p w14:paraId="6A2F880E" w14:textId="77777777" w:rsidR="00A80D10" w:rsidRPr="00A80D10" w:rsidRDefault="00A80D10" w:rsidP="00A80D10">
      <w:pPr>
        <w:rPr>
          <w:lang w:val="en-US"/>
        </w:rPr>
      </w:pPr>
      <w:r w:rsidRPr="00A80D10">
        <w:rPr>
          <w:lang w:val="en-US"/>
        </w:rPr>
        <w:lastRenderedPageBreak/>
        <w:t>U.S. Department of Education. (s. f.). Personally identifiable information for education records. Student Privacy Policy Office. https://studentprivacy.ed.gov/content/personally-identifiable-information-education-records</w:t>
      </w:r>
    </w:p>
    <w:p w14:paraId="66F9E53D" w14:textId="236FE83F" w:rsidR="00A80D10" w:rsidRDefault="00A80D10" w:rsidP="009539DD">
      <w:pPr>
        <w:rPr>
          <w:b/>
          <w:bCs/>
        </w:rPr>
      </w:pPr>
      <w:r w:rsidRPr="00A80D10">
        <w:rPr>
          <w:b/>
          <w:bCs/>
        </w:rPr>
        <w:t>Sesgo algorítmico</w:t>
      </w:r>
    </w:p>
    <w:p w14:paraId="3E3D03AE" w14:textId="77777777" w:rsidR="006C65C9" w:rsidRPr="006C65C9" w:rsidRDefault="006C65C9" w:rsidP="006C65C9">
      <w:r w:rsidRPr="006C65C9">
        <w:t>Sesgo algorítmico es la presencia de errores sistemáticos o resultados desbalanceados en las salidas de un sistema automatizado (como un LLM) que generan efectos injustos o discriminatorios hacia ciertos grupos, producto de datos de entrenamiento sesgados o decisiones de diseño del algoritmo. En educación, esto se traduce en recomendaciones, evaluaciones o contenidos que favorecen o desfavorecen sistemáticamente a determinados estudiantes, reproduciendo desigualdades existentes.</w:t>
      </w:r>
    </w:p>
    <w:p w14:paraId="45C30819" w14:textId="77777777" w:rsidR="006C65C9" w:rsidRPr="006C65C9" w:rsidRDefault="006C65C9" w:rsidP="006C65C9">
      <w:pPr>
        <w:rPr>
          <w:lang w:val="en-US"/>
        </w:rPr>
      </w:pPr>
      <w:r w:rsidRPr="006C65C9">
        <w:rPr>
          <w:rFonts w:ascii="Arial" w:hAnsi="Arial" w:cs="Arial"/>
          <w:lang w:val="en-US"/>
        </w:rPr>
        <w:t>​</w:t>
      </w:r>
    </w:p>
    <w:p w14:paraId="661A7169" w14:textId="77777777" w:rsidR="006C65C9" w:rsidRPr="006C65C9" w:rsidRDefault="006C65C9" w:rsidP="006C65C9">
      <w:pPr>
        <w:rPr>
          <w:lang w:val="en-US"/>
        </w:rPr>
      </w:pPr>
      <w:r w:rsidRPr="006C65C9">
        <w:rPr>
          <w:lang w:val="en-US"/>
        </w:rPr>
        <w:t>IBM. (2024). What is algorithmic bias? IBM Think. https://www.ibm.com/think/topics/algorithmic-bias</w:t>
      </w:r>
    </w:p>
    <w:p w14:paraId="710E04EB" w14:textId="62E22ED1" w:rsidR="00A80D10" w:rsidRDefault="006C65C9" w:rsidP="009539DD">
      <w:pPr>
        <w:rPr>
          <w:b/>
          <w:bCs/>
        </w:rPr>
      </w:pPr>
      <w:r w:rsidRPr="006C65C9">
        <w:rPr>
          <w:b/>
          <w:bCs/>
        </w:rPr>
        <w:t>Dependencia tecnológica</w:t>
      </w:r>
    </w:p>
    <w:p w14:paraId="4A8927E8" w14:textId="77777777" w:rsidR="006C65C9" w:rsidRPr="006C65C9" w:rsidRDefault="006C65C9" w:rsidP="006C65C9">
      <w:r w:rsidRPr="006C65C9">
        <w:t>Dependencia tecnológica es el grado en que una persona, grupo u organización requiere del uso continuo de tecnologías digitales para ejecutar tareas básicas, hasta el punto de ver mermadas su autonomía, juicio o desempeño cuando dichas tecnologías no están disponibles. En el ámbito educativo, se manifiesta cuando docentes o estudiantes confían de forma excesiva en sistemas como LLM, plataformas digitales o dispositivos, delegando decisiones pedagógicas o procesos de pensamiento que deberían seguir siendo ejercidos y supervisados por el capital profesional docente.</w:t>
      </w:r>
    </w:p>
    <w:p w14:paraId="0ACCC7DA" w14:textId="77777777" w:rsidR="006C65C9" w:rsidRPr="006C65C9" w:rsidRDefault="006C65C9" w:rsidP="006C65C9">
      <w:r w:rsidRPr="006C65C9">
        <w:rPr>
          <w:rFonts w:ascii="Arial" w:hAnsi="Arial" w:cs="Arial"/>
        </w:rPr>
        <w:t>​</w:t>
      </w:r>
    </w:p>
    <w:p w14:paraId="6D1B9E21" w14:textId="77777777" w:rsidR="006C65C9" w:rsidRPr="006C65C9" w:rsidRDefault="006C65C9" w:rsidP="006C65C9">
      <w:r w:rsidRPr="006C65C9">
        <w:t>Hussain, A. (2013). Technological dependence [Entrada de blog]. http://www.aftabhussain.com/dependence.html</w:t>
      </w:r>
    </w:p>
    <w:p w14:paraId="2D68BA03" w14:textId="1879F0BD" w:rsidR="006C65C9" w:rsidRDefault="00A15090" w:rsidP="009539DD">
      <w:pPr>
        <w:rPr>
          <w:b/>
          <w:bCs/>
        </w:rPr>
      </w:pPr>
      <w:r w:rsidRPr="00A15090">
        <w:rPr>
          <w:b/>
          <w:bCs/>
        </w:rPr>
        <w:t>Capital profesional</w:t>
      </w:r>
    </w:p>
    <w:p w14:paraId="033E372F" w14:textId="77777777" w:rsidR="00A15090" w:rsidRPr="00A15090" w:rsidRDefault="00A15090" w:rsidP="00A15090">
      <w:r w:rsidRPr="00A15090">
        <w:t>Capital profesional es el conjunto integrado de capital humano, social y decisional de la profesión docente: el talento y la preparación individual de los profesores (capital humano), la calidad de sus redes y colaboración entre colegas (capital social) y la capacidad colectiva de tomar juicios pedagógicos sólidos en contextos complejos, desarrollada mediante la experiencia y la reflexión profesional (capital decisional). En este marco, mejorar la educación implica invertir en desarrollar, conectar y fortalecer sistemáticamente estas tres formas de capital en todos los docentes, más que depender solo de estándares, tecnología o evaluaciones externas.</w:t>
      </w:r>
    </w:p>
    <w:p w14:paraId="04D7A792" w14:textId="77777777" w:rsidR="00A15090" w:rsidRPr="00A15090" w:rsidRDefault="00A15090" w:rsidP="00A15090">
      <w:pPr>
        <w:rPr>
          <w:lang w:val="en-US"/>
        </w:rPr>
      </w:pPr>
      <w:r w:rsidRPr="00A15090">
        <w:rPr>
          <w:rFonts w:ascii="Arial" w:hAnsi="Arial" w:cs="Arial"/>
          <w:lang w:val="en-US"/>
        </w:rPr>
        <w:lastRenderedPageBreak/>
        <w:t>​</w:t>
      </w:r>
    </w:p>
    <w:p w14:paraId="604446EF" w14:textId="77777777" w:rsidR="00A15090" w:rsidRPr="00A15090" w:rsidRDefault="00A15090" w:rsidP="00A15090">
      <w:pPr>
        <w:rPr>
          <w:lang w:val="en-US"/>
        </w:rPr>
      </w:pPr>
      <w:r w:rsidRPr="00A15090">
        <w:rPr>
          <w:lang w:val="en-US"/>
        </w:rPr>
        <w:t>Hargreaves, A., &amp; Fullan, M. (2012). Professional capital: Transforming teaching in every school. https://eric.ed.gov/?id=ED530692.</w:t>
      </w:r>
      <w:r w:rsidRPr="00A15090">
        <w:rPr>
          <w:rFonts w:ascii="Arial" w:hAnsi="Arial" w:cs="Arial"/>
          <w:lang w:val="en-US"/>
        </w:rPr>
        <w:t>​</w:t>
      </w:r>
    </w:p>
    <w:p w14:paraId="58B66EAD" w14:textId="77777777" w:rsidR="00A15090" w:rsidRDefault="00A15090" w:rsidP="009539DD">
      <w:pPr>
        <w:rPr>
          <w:lang w:val="en-US"/>
        </w:rPr>
      </w:pPr>
    </w:p>
    <w:p w14:paraId="4DC9304A" w14:textId="1EAB54C6" w:rsidR="00A15090" w:rsidRDefault="00A15090" w:rsidP="009539DD">
      <w:pPr>
        <w:rPr>
          <w:b/>
          <w:bCs/>
          <w:lang w:val="en-US"/>
        </w:rPr>
      </w:pPr>
      <w:r w:rsidRPr="00A15090">
        <w:rPr>
          <w:b/>
          <w:bCs/>
          <w:lang w:val="en-US"/>
        </w:rPr>
        <w:t>Human in the Loop (HITL)</w:t>
      </w:r>
    </w:p>
    <w:p w14:paraId="0607FE4D" w14:textId="77777777" w:rsidR="00A15090" w:rsidRPr="00A15090" w:rsidRDefault="00A15090" w:rsidP="00A15090">
      <w:r w:rsidRPr="00A15090">
        <w:t>Human in the Loop (HITL) es un enfoque de diseño de sistemas de IA en el que la intervención humana se integra de forma explícita en momentos clave del ciclo de vida del modelo (entrenamiento, evaluación u operación), de modo que las personas supervisan, validan, corrigen o aprueban las salidas antes de que se tomen decisiones automatizadas. En el contexto educativo, implica que los docentes usan LLM y bots para generar borradores o sugerencias, pero conservan el control profesional sobre la revisión, la adaptación al contexto y la decisión final sobre qué se comparte con el estudiantado.</w:t>
      </w:r>
    </w:p>
    <w:p w14:paraId="7BB38B2A" w14:textId="77777777" w:rsidR="00A15090" w:rsidRPr="00A15090" w:rsidRDefault="00A15090" w:rsidP="00A15090">
      <w:pPr>
        <w:rPr>
          <w:lang w:val="en-US"/>
        </w:rPr>
      </w:pPr>
      <w:r w:rsidRPr="00A15090">
        <w:rPr>
          <w:rFonts w:ascii="Arial" w:hAnsi="Arial" w:cs="Arial"/>
          <w:lang w:val="en-US"/>
        </w:rPr>
        <w:t>​</w:t>
      </w:r>
    </w:p>
    <w:p w14:paraId="31EEB721" w14:textId="77777777" w:rsidR="00A15090" w:rsidRPr="00A15090" w:rsidRDefault="00A15090" w:rsidP="00A15090">
      <w:pPr>
        <w:rPr>
          <w:lang w:val="en-US"/>
        </w:rPr>
      </w:pPr>
      <w:r w:rsidRPr="00A15090">
        <w:rPr>
          <w:lang w:val="en-US"/>
        </w:rPr>
        <w:t>Google Cloud. (2026). What is Human-in-the-Loop (HITL) in AI &amp; ML? Google Cloud. https://cloud.google.com/discover/human-in-the-loop</w:t>
      </w:r>
    </w:p>
    <w:p w14:paraId="2DF443FB" w14:textId="77777777" w:rsidR="00A15090" w:rsidRPr="00A15090" w:rsidRDefault="00A15090" w:rsidP="00A15090">
      <w:pPr>
        <w:rPr>
          <w:lang w:val="en-US"/>
        </w:rPr>
      </w:pPr>
    </w:p>
    <w:p w14:paraId="0EE0C99B" w14:textId="77777777" w:rsidR="00A15090" w:rsidRPr="00A15090" w:rsidRDefault="00A15090" w:rsidP="00A15090">
      <w:pPr>
        <w:rPr>
          <w:lang w:val="en-US"/>
        </w:rPr>
      </w:pPr>
      <w:r w:rsidRPr="00A15090">
        <w:rPr>
          <w:lang w:val="en-US"/>
        </w:rPr>
        <w:t>IBM. (2025). What is human in the loop (HITL)? IBM Think. https://www.ibm.com/think/topics/human-in-the-loop</w:t>
      </w:r>
    </w:p>
    <w:p w14:paraId="5F299F7F" w14:textId="77777777" w:rsidR="00A15090" w:rsidRPr="00A15090" w:rsidRDefault="00A15090" w:rsidP="00A15090">
      <w:pPr>
        <w:rPr>
          <w:b/>
          <w:bCs/>
        </w:rPr>
      </w:pPr>
      <w:r w:rsidRPr="00A15090">
        <w:rPr>
          <w:b/>
          <w:bCs/>
        </w:rPr>
        <w:t>Cierre de la lección</w:t>
      </w:r>
    </w:p>
    <w:p w14:paraId="5AD8BA41" w14:textId="77777777" w:rsidR="00A15090" w:rsidRDefault="00A15090" w:rsidP="00A15090">
      <w:pPr>
        <w:rPr>
          <w:b/>
          <w:bCs/>
        </w:rPr>
      </w:pPr>
      <w:r w:rsidRPr="00A15090">
        <w:rPr>
          <w:b/>
          <w:bCs/>
        </w:rPr>
        <w:t>Felicidades</w:t>
      </w:r>
    </w:p>
    <w:p w14:paraId="0379441C" w14:textId="7D6480FE" w:rsidR="00A15090" w:rsidRDefault="00045DD2" w:rsidP="00A15090">
      <w:r w:rsidRPr="00045DD2">
        <w:t>Has culminado la lección 1.3 del programa de formación profesional.</w:t>
      </w:r>
    </w:p>
    <w:p w14:paraId="35860050" w14:textId="70550DE9" w:rsidR="00045DD2" w:rsidRDefault="00045DD2" w:rsidP="00A15090">
      <w:r w:rsidRPr="00045DD2">
        <w:t>Al completar el contenido 1.3 has dado un paso crucial: no solo comprendes lo que los LLM pueden hacer, sino también lo que no deben hacer en términos de privacidad, sesgos y responsabilidad profesional. Este marco ético fortalece tu rol como docente, porque te permite integrar la IA con mayor seguridad, defendiendo siempre la confidencialidad de tus estudiantes y la calidad de tus decisiones pedagógicas.</w:t>
      </w:r>
    </w:p>
    <w:p w14:paraId="75B3D91F" w14:textId="5D2A71E8" w:rsidR="00045DD2" w:rsidRDefault="00045DD2" w:rsidP="00A15090">
      <w:pPr>
        <w:rPr>
          <w:b/>
          <w:bCs/>
        </w:rPr>
      </w:pPr>
      <w:r w:rsidRPr="00045DD2">
        <w:rPr>
          <w:b/>
          <w:bCs/>
        </w:rPr>
        <w:t>Invitación al checkpoint de saberes</w:t>
      </w:r>
    </w:p>
    <w:p w14:paraId="4390CFFD" w14:textId="1862D658" w:rsidR="00045DD2" w:rsidRPr="00045DD2" w:rsidRDefault="00D87098" w:rsidP="00A15090">
      <w:r w:rsidRPr="00D87098">
        <w:t xml:space="preserve">Para cerrar este bloque, te invito a realizar el Checkpoint de Saberes, una evaluación formativa breve y no punitiva centrada en tres ejes: privacidad de datos estudiantiles, sesgos y dependencia tecnológica, y el rol del docente como “Human in the Loop”. Al completarlo, estarás generando evidencia de tu propio criterio profesional en torno a la IA: </w:t>
      </w:r>
      <w:r w:rsidRPr="00D87098">
        <w:lastRenderedPageBreak/>
        <w:t>podrás identificar situaciones de riesgo, definir qué información nunca debe entrar a un bot y reconocer cuándo es necesario contrastar las respuestas del modelo con otras fuentes y con la realidad de tu escuela.</w:t>
      </w:r>
    </w:p>
    <w:p w14:paraId="476E37C3" w14:textId="3FEF8F81" w:rsidR="00A15090" w:rsidRPr="00D87098" w:rsidRDefault="00A15090" w:rsidP="00A15090">
      <w:pPr>
        <w:rPr>
          <w:lang w:val="en-US"/>
        </w:rPr>
      </w:pPr>
      <w:r w:rsidRPr="00D87098">
        <w:rPr>
          <w:lang w:val="en-US"/>
        </w:rPr>
        <w:t>Enlace:</w:t>
      </w:r>
      <w:r w:rsidR="00D87098" w:rsidRPr="00D87098">
        <w:rPr>
          <w:rFonts w:ascii="Arial" w:hAnsi="Arial" w:cs="Arial"/>
          <w:color w:val="000000"/>
          <w:shd w:val="clear" w:color="auto" w:fill="FFFFFF"/>
          <w:lang w:val="en-US"/>
        </w:rPr>
        <w:t xml:space="preserve"> </w:t>
      </w:r>
      <w:r w:rsidR="00D87098" w:rsidRPr="00D87098">
        <w:rPr>
          <w:lang w:val="en-US"/>
        </w:rPr>
        <w:t>&lt;div style="width: 100%;"&gt;&lt;div style="position: relative; padding-bottom: 56.25%; padding-top: 0; height: 0;"&gt;&lt;iframe title="Contenido 1.3: Quiz práctico-LLM" frameborder="0" width="1200" height="675" style="position: absolute; top: 0; left: 0; width: 100%; height: 100%;" src="https://view.genially.com/69adcaa514c7191a9da873a6" type="text/html" allowscriptaccess="always" allowfullscreen="true" scrolling="yes" allownetworking="all"&gt;&lt;/iframe&gt; &lt;/div&gt; &lt;/div&gt;</w:t>
      </w:r>
    </w:p>
    <w:p w14:paraId="0949D7A4" w14:textId="77777777" w:rsidR="00A15090" w:rsidRPr="00D87098" w:rsidRDefault="00A15090" w:rsidP="009539DD">
      <w:pPr>
        <w:rPr>
          <w:lang w:val="en-US"/>
        </w:rPr>
      </w:pPr>
    </w:p>
    <w:p w14:paraId="2AD5DDC0" w14:textId="77777777" w:rsidR="006C65C9" w:rsidRPr="009539DD" w:rsidRDefault="006C65C9" w:rsidP="009539DD">
      <w:pPr>
        <w:rPr>
          <w:lang w:val="en-US"/>
        </w:rPr>
      </w:pPr>
    </w:p>
    <w:p w14:paraId="55A9B9C1" w14:textId="6001499E" w:rsidR="009539DD" w:rsidRPr="00E71B1E" w:rsidRDefault="009539DD" w:rsidP="009539DD">
      <w:pPr>
        <w:rPr>
          <w:b/>
          <w:bCs/>
        </w:rPr>
      </w:pPr>
      <w:r w:rsidRPr="009539DD">
        <w:rPr>
          <w:b/>
          <w:bCs/>
        </w:rPr>
        <w:t>Referencias</w:t>
      </w:r>
    </w:p>
    <w:p w14:paraId="1A9AFD13" w14:textId="77777777" w:rsidR="00E71B1E" w:rsidRPr="00E364A5" w:rsidRDefault="00E71B1E" w:rsidP="00E71B1E">
      <w:pPr>
        <w:rPr>
          <w:lang w:val="en-US"/>
        </w:rPr>
      </w:pPr>
      <w:r w:rsidRPr="00E71B1E">
        <w:t xml:space="preserve">Damiano, R. F., et al. </w:t>
      </w:r>
      <w:r w:rsidRPr="00E71B1E">
        <w:rPr>
          <w:lang w:val="en-US"/>
        </w:rPr>
        <w:t xml:space="preserve">(2024). Early perceptions of teaching and learning using generative AI in higher education. </w:t>
      </w:r>
      <w:r w:rsidRPr="00E364A5">
        <w:rPr>
          <w:lang w:val="en-US"/>
        </w:rPr>
        <w:t>Computers &amp; Education: Artificial Intelligence, 100157.</w:t>
      </w:r>
    </w:p>
    <w:p w14:paraId="46EB8C75" w14:textId="77777777" w:rsidR="00E71B1E" w:rsidRPr="00E364A5" w:rsidRDefault="00E71B1E" w:rsidP="00E71B1E">
      <w:pPr>
        <w:rPr>
          <w:lang w:val="en-US"/>
        </w:rPr>
      </w:pPr>
      <w:r w:rsidRPr="00E71B1E">
        <w:rPr>
          <w:lang w:val="en-US"/>
        </w:rPr>
        <w:t xml:space="preserve">Hargreaves, A., &amp; Fullan, M. (2012). Professional capital: Transforming teaching in every school. </w:t>
      </w:r>
      <w:r w:rsidRPr="00E364A5">
        <w:rPr>
          <w:lang w:val="en-US"/>
        </w:rPr>
        <w:t>Teachers College Press.</w:t>
      </w:r>
    </w:p>
    <w:p w14:paraId="55783414" w14:textId="77777777" w:rsidR="00E71B1E" w:rsidRPr="00E364A5" w:rsidRDefault="00E71B1E" w:rsidP="00E71B1E">
      <w:pPr>
        <w:rPr>
          <w:lang w:val="en-US"/>
        </w:rPr>
      </w:pPr>
      <w:r w:rsidRPr="00E71B1E">
        <w:rPr>
          <w:lang w:val="en-US"/>
        </w:rPr>
        <w:t xml:space="preserve">Im, E., &amp; Chee, W. (2012). Methodological issues in the recruitment of ethnic minority subjects to research via the Internet: A discussion paper. </w:t>
      </w:r>
      <w:r w:rsidRPr="00E364A5">
        <w:rPr>
          <w:lang w:val="en-US"/>
        </w:rPr>
        <w:t>International Journal of Nursing Studies, 49(1), 99–106.</w:t>
      </w:r>
    </w:p>
    <w:p w14:paraId="7F72B95B" w14:textId="77777777" w:rsidR="00E71B1E" w:rsidRPr="00E364A5" w:rsidRDefault="00E71B1E" w:rsidP="00E71B1E">
      <w:pPr>
        <w:rPr>
          <w:lang w:val="en-US"/>
        </w:rPr>
      </w:pPr>
      <w:r w:rsidRPr="00E71B1E">
        <w:rPr>
          <w:lang w:val="en-US"/>
        </w:rPr>
        <w:t xml:space="preserve">Russell, S. J., &amp; Norvig, P. (2020). Artificial intelligence: A modern approach (4th ed.). </w:t>
      </w:r>
      <w:r w:rsidRPr="00E364A5">
        <w:rPr>
          <w:lang w:val="en-US"/>
        </w:rPr>
        <w:t>Pearson.</w:t>
      </w:r>
    </w:p>
    <w:p w14:paraId="6F3DCCF2" w14:textId="77777777" w:rsidR="00E71B1E" w:rsidRPr="00E364A5" w:rsidRDefault="00E71B1E" w:rsidP="00E71B1E">
      <w:pPr>
        <w:rPr>
          <w:lang w:val="en-US"/>
        </w:rPr>
      </w:pPr>
      <w:r w:rsidRPr="00E71B1E">
        <w:rPr>
          <w:lang w:val="en-US"/>
        </w:rPr>
        <w:t xml:space="preserve">Valli, P., &amp; Zafiropoulos, K. (2024). Factors that affect the acceptance of educational AI tools by teachers. </w:t>
      </w:r>
      <w:r w:rsidRPr="00E364A5">
        <w:rPr>
          <w:lang w:val="en-US"/>
        </w:rPr>
        <w:t>Education and Information Technologies, 29, 123–145.</w:t>
      </w:r>
    </w:p>
    <w:p w14:paraId="30EC478B" w14:textId="77777777" w:rsidR="00E71B1E" w:rsidRPr="00E71B1E" w:rsidRDefault="00E71B1E" w:rsidP="00E71B1E">
      <w:pPr>
        <w:rPr>
          <w:lang w:val="en-US"/>
        </w:rPr>
      </w:pPr>
      <w:r w:rsidRPr="00E71B1E">
        <w:rPr>
          <w:lang w:val="en-US"/>
        </w:rPr>
        <w:t>Zhao, W. X., Zhou, K., Li, J., Tang, T., Wang, X., Hou, Y., ... &amp; Wen, J. R. (2023). A survey of large language models. arXiv preprint arXiv:2303.18223.</w:t>
      </w:r>
    </w:p>
    <w:p w14:paraId="306B9964" w14:textId="77777777" w:rsidR="00E71B1E" w:rsidRPr="009539DD" w:rsidRDefault="00E71B1E" w:rsidP="009539DD">
      <w:pPr>
        <w:rPr>
          <w:lang w:val="en-US"/>
        </w:rPr>
      </w:pPr>
    </w:p>
    <w:sectPr w:rsidR="00E71B1E" w:rsidRPr="009539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i1025" type="#_x0000_t75" alt="Forma" style="width:.7pt;height:.7pt;visibility:visible;mso-wrap-style:square" o:bullet="t">
        <v:imagedata r:id="rId1" o:title="Forma"/>
      </v:shape>
    </w:pict>
  </w:numPicBullet>
  <w:abstractNum w:abstractNumId="0" w15:restartNumberingAfterBreak="0">
    <w:nsid w:val="06687025"/>
    <w:multiLevelType w:val="multilevel"/>
    <w:tmpl w:val="0376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2A69C7"/>
    <w:multiLevelType w:val="multilevel"/>
    <w:tmpl w:val="8A18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AD3462"/>
    <w:multiLevelType w:val="multilevel"/>
    <w:tmpl w:val="B3DA4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14D02"/>
    <w:multiLevelType w:val="multilevel"/>
    <w:tmpl w:val="11C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F2678F"/>
    <w:multiLevelType w:val="multilevel"/>
    <w:tmpl w:val="5BEC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624E4D"/>
    <w:multiLevelType w:val="multilevel"/>
    <w:tmpl w:val="4552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653087"/>
    <w:multiLevelType w:val="multilevel"/>
    <w:tmpl w:val="DF44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D00913"/>
    <w:multiLevelType w:val="multilevel"/>
    <w:tmpl w:val="7A4E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78061A"/>
    <w:multiLevelType w:val="multilevel"/>
    <w:tmpl w:val="72F2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C40B60"/>
    <w:multiLevelType w:val="multilevel"/>
    <w:tmpl w:val="3E68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0C6411"/>
    <w:multiLevelType w:val="multilevel"/>
    <w:tmpl w:val="667612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BAB30D2"/>
    <w:multiLevelType w:val="multilevel"/>
    <w:tmpl w:val="5852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DF6082"/>
    <w:multiLevelType w:val="multilevel"/>
    <w:tmpl w:val="65445F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581F2D"/>
    <w:multiLevelType w:val="multilevel"/>
    <w:tmpl w:val="5B0E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58719C"/>
    <w:multiLevelType w:val="multilevel"/>
    <w:tmpl w:val="641E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EE4030"/>
    <w:multiLevelType w:val="multilevel"/>
    <w:tmpl w:val="8676B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4031E8"/>
    <w:multiLevelType w:val="multilevel"/>
    <w:tmpl w:val="883C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CA5489"/>
    <w:multiLevelType w:val="multilevel"/>
    <w:tmpl w:val="CAC6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CC5999"/>
    <w:multiLevelType w:val="multilevel"/>
    <w:tmpl w:val="1F34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6953CE"/>
    <w:multiLevelType w:val="multilevel"/>
    <w:tmpl w:val="997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7C012D"/>
    <w:multiLevelType w:val="hybridMultilevel"/>
    <w:tmpl w:val="ACE8E986"/>
    <w:lvl w:ilvl="0" w:tplc="680AB136">
      <w:start w:val="1"/>
      <w:numFmt w:val="bullet"/>
      <w:lvlText w:val=""/>
      <w:lvlPicBulletId w:val="0"/>
      <w:lvlJc w:val="left"/>
      <w:pPr>
        <w:tabs>
          <w:tab w:val="num" w:pos="720"/>
        </w:tabs>
        <w:ind w:left="720" w:hanging="360"/>
      </w:pPr>
      <w:rPr>
        <w:rFonts w:ascii="Symbol" w:hAnsi="Symbol" w:hint="default"/>
      </w:rPr>
    </w:lvl>
    <w:lvl w:ilvl="1" w:tplc="DABCE7FC" w:tentative="1">
      <w:start w:val="1"/>
      <w:numFmt w:val="bullet"/>
      <w:lvlText w:val=""/>
      <w:lvlJc w:val="left"/>
      <w:pPr>
        <w:tabs>
          <w:tab w:val="num" w:pos="1440"/>
        </w:tabs>
        <w:ind w:left="1440" w:hanging="360"/>
      </w:pPr>
      <w:rPr>
        <w:rFonts w:ascii="Symbol" w:hAnsi="Symbol" w:hint="default"/>
      </w:rPr>
    </w:lvl>
    <w:lvl w:ilvl="2" w:tplc="3558D6EE" w:tentative="1">
      <w:start w:val="1"/>
      <w:numFmt w:val="bullet"/>
      <w:lvlText w:val=""/>
      <w:lvlJc w:val="left"/>
      <w:pPr>
        <w:tabs>
          <w:tab w:val="num" w:pos="2160"/>
        </w:tabs>
        <w:ind w:left="2160" w:hanging="360"/>
      </w:pPr>
      <w:rPr>
        <w:rFonts w:ascii="Symbol" w:hAnsi="Symbol" w:hint="default"/>
      </w:rPr>
    </w:lvl>
    <w:lvl w:ilvl="3" w:tplc="102A9354" w:tentative="1">
      <w:start w:val="1"/>
      <w:numFmt w:val="bullet"/>
      <w:lvlText w:val=""/>
      <w:lvlJc w:val="left"/>
      <w:pPr>
        <w:tabs>
          <w:tab w:val="num" w:pos="2880"/>
        </w:tabs>
        <w:ind w:left="2880" w:hanging="360"/>
      </w:pPr>
      <w:rPr>
        <w:rFonts w:ascii="Symbol" w:hAnsi="Symbol" w:hint="default"/>
      </w:rPr>
    </w:lvl>
    <w:lvl w:ilvl="4" w:tplc="97CCF420" w:tentative="1">
      <w:start w:val="1"/>
      <w:numFmt w:val="bullet"/>
      <w:lvlText w:val=""/>
      <w:lvlJc w:val="left"/>
      <w:pPr>
        <w:tabs>
          <w:tab w:val="num" w:pos="3600"/>
        </w:tabs>
        <w:ind w:left="3600" w:hanging="360"/>
      </w:pPr>
      <w:rPr>
        <w:rFonts w:ascii="Symbol" w:hAnsi="Symbol" w:hint="default"/>
      </w:rPr>
    </w:lvl>
    <w:lvl w:ilvl="5" w:tplc="F0E06D86" w:tentative="1">
      <w:start w:val="1"/>
      <w:numFmt w:val="bullet"/>
      <w:lvlText w:val=""/>
      <w:lvlJc w:val="left"/>
      <w:pPr>
        <w:tabs>
          <w:tab w:val="num" w:pos="4320"/>
        </w:tabs>
        <w:ind w:left="4320" w:hanging="360"/>
      </w:pPr>
      <w:rPr>
        <w:rFonts w:ascii="Symbol" w:hAnsi="Symbol" w:hint="default"/>
      </w:rPr>
    </w:lvl>
    <w:lvl w:ilvl="6" w:tplc="2F38DD88" w:tentative="1">
      <w:start w:val="1"/>
      <w:numFmt w:val="bullet"/>
      <w:lvlText w:val=""/>
      <w:lvlJc w:val="left"/>
      <w:pPr>
        <w:tabs>
          <w:tab w:val="num" w:pos="5040"/>
        </w:tabs>
        <w:ind w:left="5040" w:hanging="360"/>
      </w:pPr>
      <w:rPr>
        <w:rFonts w:ascii="Symbol" w:hAnsi="Symbol" w:hint="default"/>
      </w:rPr>
    </w:lvl>
    <w:lvl w:ilvl="7" w:tplc="45CCFC5A" w:tentative="1">
      <w:start w:val="1"/>
      <w:numFmt w:val="bullet"/>
      <w:lvlText w:val=""/>
      <w:lvlJc w:val="left"/>
      <w:pPr>
        <w:tabs>
          <w:tab w:val="num" w:pos="5760"/>
        </w:tabs>
        <w:ind w:left="5760" w:hanging="360"/>
      </w:pPr>
      <w:rPr>
        <w:rFonts w:ascii="Symbol" w:hAnsi="Symbol" w:hint="default"/>
      </w:rPr>
    </w:lvl>
    <w:lvl w:ilvl="8" w:tplc="8ED406EA"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33A917C1"/>
    <w:multiLevelType w:val="multilevel"/>
    <w:tmpl w:val="F088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2102BF"/>
    <w:multiLevelType w:val="multilevel"/>
    <w:tmpl w:val="EBF8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AD5E2F"/>
    <w:multiLevelType w:val="multilevel"/>
    <w:tmpl w:val="DA06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72321B"/>
    <w:multiLevelType w:val="multilevel"/>
    <w:tmpl w:val="0A34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764A6C"/>
    <w:multiLevelType w:val="multilevel"/>
    <w:tmpl w:val="C27E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31E61A1"/>
    <w:multiLevelType w:val="multilevel"/>
    <w:tmpl w:val="661E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CA34AF"/>
    <w:multiLevelType w:val="multilevel"/>
    <w:tmpl w:val="D6AE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7105927"/>
    <w:multiLevelType w:val="multilevel"/>
    <w:tmpl w:val="FC0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BF5EDB"/>
    <w:multiLevelType w:val="multilevel"/>
    <w:tmpl w:val="6024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0A1D5B"/>
    <w:multiLevelType w:val="multilevel"/>
    <w:tmpl w:val="C6008F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106664"/>
    <w:multiLevelType w:val="multilevel"/>
    <w:tmpl w:val="89F2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9C5CA7"/>
    <w:multiLevelType w:val="multilevel"/>
    <w:tmpl w:val="64E8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185F22"/>
    <w:multiLevelType w:val="multilevel"/>
    <w:tmpl w:val="F214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003779"/>
    <w:multiLevelType w:val="multilevel"/>
    <w:tmpl w:val="BBA2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2AC3430"/>
    <w:multiLevelType w:val="multilevel"/>
    <w:tmpl w:val="A2A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BB2A80"/>
    <w:multiLevelType w:val="multilevel"/>
    <w:tmpl w:val="657E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72E245E"/>
    <w:multiLevelType w:val="multilevel"/>
    <w:tmpl w:val="B3B2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42261B"/>
    <w:multiLevelType w:val="multilevel"/>
    <w:tmpl w:val="12C0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760296D"/>
    <w:multiLevelType w:val="multilevel"/>
    <w:tmpl w:val="F2B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83F0A80"/>
    <w:multiLevelType w:val="multilevel"/>
    <w:tmpl w:val="1FDC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8875F5C"/>
    <w:multiLevelType w:val="multilevel"/>
    <w:tmpl w:val="12F2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C827D81"/>
    <w:multiLevelType w:val="multilevel"/>
    <w:tmpl w:val="05D2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CBB17D0"/>
    <w:multiLevelType w:val="multilevel"/>
    <w:tmpl w:val="9344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DE81FC6"/>
    <w:multiLevelType w:val="multilevel"/>
    <w:tmpl w:val="64B0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E3F4566"/>
    <w:multiLevelType w:val="multilevel"/>
    <w:tmpl w:val="561A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5202B5C"/>
    <w:multiLevelType w:val="multilevel"/>
    <w:tmpl w:val="5422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5854557"/>
    <w:multiLevelType w:val="multilevel"/>
    <w:tmpl w:val="B85C2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4F0E62"/>
    <w:multiLevelType w:val="multilevel"/>
    <w:tmpl w:val="0978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C63F36"/>
    <w:multiLevelType w:val="multilevel"/>
    <w:tmpl w:val="8D94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7F37820"/>
    <w:multiLevelType w:val="multilevel"/>
    <w:tmpl w:val="80C4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DFC0E09"/>
    <w:multiLevelType w:val="multilevel"/>
    <w:tmpl w:val="543257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C75B90"/>
    <w:multiLevelType w:val="multilevel"/>
    <w:tmpl w:val="CBC6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4102628">
    <w:abstractNumId w:val="47"/>
  </w:num>
  <w:num w:numId="2" w16cid:durableId="776872037">
    <w:abstractNumId w:val="12"/>
  </w:num>
  <w:num w:numId="3" w16cid:durableId="683437366">
    <w:abstractNumId w:val="51"/>
  </w:num>
  <w:num w:numId="4" w16cid:durableId="807288460">
    <w:abstractNumId w:val="3"/>
  </w:num>
  <w:num w:numId="5" w16cid:durableId="936523466">
    <w:abstractNumId w:val="26"/>
  </w:num>
  <w:num w:numId="6" w16cid:durableId="497424891">
    <w:abstractNumId w:val="7"/>
  </w:num>
  <w:num w:numId="7" w16cid:durableId="2320466">
    <w:abstractNumId w:val="2"/>
  </w:num>
  <w:num w:numId="8" w16cid:durableId="178593877">
    <w:abstractNumId w:val="30"/>
  </w:num>
  <w:num w:numId="9" w16cid:durableId="1728534249">
    <w:abstractNumId w:val="15"/>
  </w:num>
  <w:num w:numId="10" w16cid:durableId="1301106566">
    <w:abstractNumId w:val="50"/>
  </w:num>
  <w:num w:numId="11" w16cid:durableId="1159232462">
    <w:abstractNumId w:val="13"/>
  </w:num>
  <w:num w:numId="12" w16cid:durableId="1942449080">
    <w:abstractNumId w:val="41"/>
  </w:num>
  <w:num w:numId="13" w16cid:durableId="1865484247">
    <w:abstractNumId w:val="23"/>
  </w:num>
  <w:num w:numId="14" w16cid:durableId="736705293">
    <w:abstractNumId w:val="49"/>
  </w:num>
  <w:num w:numId="15" w16cid:durableId="1387484980">
    <w:abstractNumId w:val="19"/>
  </w:num>
  <w:num w:numId="16" w16cid:durableId="1427657442">
    <w:abstractNumId w:val="16"/>
  </w:num>
  <w:num w:numId="17" w16cid:durableId="80490744">
    <w:abstractNumId w:val="39"/>
  </w:num>
  <w:num w:numId="18" w16cid:durableId="227421462">
    <w:abstractNumId w:val="29"/>
  </w:num>
  <w:num w:numId="19" w16cid:durableId="1870873849">
    <w:abstractNumId w:val="44"/>
  </w:num>
  <w:num w:numId="20" w16cid:durableId="1149517586">
    <w:abstractNumId w:val="14"/>
  </w:num>
  <w:num w:numId="21" w16cid:durableId="2097968738">
    <w:abstractNumId w:val="28"/>
  </w:num>
  <w:num w:numId="22" w16cid:durableId="1303467693">
    <w:abstractNumId w:val="35"/>
  </w:num>
  <w:num w:numId="23" w16cid:durableId="1948732296">
    <w:abstractNumId w:val="38"/>
  </w:num>
  <w:num w:numId="24" w16cid:durableId="1790389295">
    <w:abstractNumId w:val="42"/>
  </w:num>
  <w:num w:numId="25" w16cid:durableId="679165238">
    <w:abstractNumId w:val="21"/>
  </w:num>
  <w:num w:numId="26" w16cid:durableId="1855609827">
    <w:abstractNumId w:val="46"/>
  </w:num>
  <w:num w:numId="27" w16cid:durableId="1241914924">
    <w:abstractNumId w:val="34"/>
  </w:num>
  <w:num w:numId="28" w16cid:durableId="1499879552">
    <w:abstractNumId w:val="18"/>
  </w:num>
  <w:num w:numId="29" w16cid:durableId="499588037">
    <w:abstractNumId w:val="40"/>
  </w:num>
  <w:num w:numId="30" w16cid:durableId="2023702215">
    <w:abstractNumId w:val="0"/>
  </w:num>
  <w:num w:numId="31" w16cid:durableId="232204033">
    <w:abstractNumId w:val="1"/>
  </w:num>
  <w:num w:numId="32" w16cid:durableId="103963612">
    <w:abstractNumId w:val="5"/>
  </w:num>
  <w:num w:numId="33" w16cid:durableId="1018504607">
    <w:abstractNumId w:val="25"/>
  </w:num>
  <w:num w:numId="34" w16cid:durableId="1424185195">
    <w:abstractNumId w:val="4"/>
  </w:num>
  <w:num w:numId="35" w16cid:durableId="1723863249">
    <w:abstractNumId w:val="37"/>
  </w:num>
  <w:num w:numId="36" w16cid:durableId="1699742671">
    <w:abstractNumId w:val="24"/>
  </w:num>
  <w:num w:numId="37" w16cid:durableId="1255016475">
    <w:abstractNumId w:val="32"/>
  </w:num>
  <w:num w:numId="38" w16cid:durableId="1719935267">
    <w:abstractNumId w:val="22"/>
  </w:num>
  <w:num w:numId="39" w16cid:durableId="1643653778">
    <w:abstractNumId w:val="36"/>
  </w:num>
  <w:num w:numId="40" w16cid:durableId="1399282648">
    <w:abstractNumId w:val="33"/>
  </w:num>
  <w:num w:numId="41" w16cid:durableId="2125416105">
    <w:abstractNumId w:val="17"/>
  </w:num>
  <w:num w:numId="42" w16cid:durableId="1007558643">
    <w:abstractNumId w:val="52"/>
  </w:num>
  <w:num w:numId="43" w16cid:durableId="1397511378">
    <w:abstractNumId w:val="31"/>
  </w:num>
  <w:num w:numId="44" w16cid:durableId="1459832543">
    <w:abstractNumId w:val="20"/>
  </w:num>
  <w:num w:numId="45" w16cid:durableId="175965409">
    <w:abstractNumId w:val="48"/>
  </w:num>
  <w:num w:numId="46" w16cid:durableId="2102097808">
    <w:abstractNumId w:val="43"/>
  </w:num>
  <w:num w:numId="47" w16cid:durableId="1856575395">
    <w:abstractNumId w:val="9"/>
  </w:num>
  <w:num w:numId="48" w16cid:durableId="685253562">
    <w:abstractNumId w:val="6"/>
  </w:num>
  <w:num w:numId="49" w16cid:durableId="469369354">
    <w:abstractNumId w:val="8"/>
  </w:num>
  <w:num w:numId="50" w16cid:durableId="1629706628">
    <w:abstractNumId w:val="45"/>
  </w:num>
  <w:num w:numId="51" w16cid:durableId="1661929517">
    <w:abstractNumId w:val="27"/>
  </w:num>
  <w:num w:numId="52" w16cid:durableId="1933977205">
    <w:abstractNumId w:val="11"/>
  </w:num>
  <w:num w:numId="53" w16cid:durableId="18052005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9B"/>
    <w:rsid w:val="00031587"/>
    <w:rsid w:val="00045DD2"/>
    <w:rsid w:val="0005269B"/>
    <w:rsid w:val="00075AA8"/>
    <w:rsid w:val="000A6F8E"/>
    <w:rsid w:val="000F78EC"/>
    <w:rsid w:val="00187A4C"/>
    <w:rsid w:val="001B328C"/>
    <w:rsid w:val="00207B64"/>
    <w:rsid w:val="002329FC"/>
    <w:rsid w:val="00257C07"/>
    <w:rsid w:val="002D295B"/>
    <w:rsid w:val="002D4E65"/>
    <w:rsid w:val="002F1A10"/>
    <w:rsid w:val="002F474B"/>
    <w:rsid w:val="00347B95"/>
    <w:rsid w:val="00366A81"/>
    <w:rsid w:val="00391B7C"/>
    <w:rsid w:val="003D6505"/>
    <w:rsid w:val="00424D79"/>
    <w:rsid w:val="004B4D51"/>
    <w:rsid w:val="004D5229"/>
    <w:rsid w:val="004F42C6"/>
    <w:rsid w:val="00540A26"/>
    <w:rsid w:val="005D13D2"/>
    <w:rsid w:val="006C65C9"/>
    <w:rsid w:val="00723B6A"/>
    <w:rsid w:val="00733DD3"/>
    <w:rsid w:val="0080483D"/>
    <w:rsid w:val="00872D82"/>
    <w:rsid w:val="008C7BE1"/>
    <w:rsid w:val="009349F4"/>
    <w:rsid w:val="009539DD"/>
    <w:rsid w:val="009603F0"/>
    <w:rsid w:val="009E73CA"/>
    <w:rsid w:val="009F234D"/>
    <w:rsid w:val="00A15090"/>
    <w:rsid w:val="00A52404"/>
    <w:rsid w:val="00A54608"/>
    <w:rsid w:val="00A55AED"/>
    <w:rsid w:val="00A61370"/>
    <w:rsid w:val="00A80D10"/>
    <w:rsid w:val="00AB61BC"/>
    <w:rsid w:val="00B13933"/>
    <w:rsid w:val="00B37200"/>
    <w:rsid w:val="00BB2E1B"/>
    <w:rsid w:val="00BB599C"/>
    <w:rsid w:val="00D01EF5"/>
    <w:rsid w:val="00D35106"/>
    <w:rsid w:val="00D42ACA"/>
    <w:rsid w:val="00D87098"/>
    <w:rsid w:val="00DC4782"/>
    <w:rsid w:val="00DF3261"/>
    <w:rsid w:val="00DF744A"/>
    <w:rsid w:val="00E23FAF"/>
    <w:rsid w:val="00E364A5"/>
    <w:rsid w:val="00E63D31"/>
    <w:rsid w:val="00E714D5"/>
    <w:rsid w:val="00E71B1E"/>
    <w:rsid w:val="00ED430B"/>
    <w:rsid w:val="00EE4777"/>
    <w:rsid w:val="00F467CE"/>
    <w:rsid w:val="00FD5DE3"/>
    <w:rsid w:val="00FF0AC8"/>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602F"/>
  <w15:chartTrackingRefBased/>
  <w15:docId w15:val="{B6F6E73D-D380-4C53-ACDB-7FB3388C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370"/>
  </w:style>
  <w:style w:type="paragraph" w:styleId="Heading1">
    <w:name w:val="heading 1"/>
    <w:basedOn w:val="Normal"/>
    <w:next w:val="Normal"/>
    <w:link w:val="Heading1Char"/>
    <w:uiPriority w:val="9"/>
    <w:qFormat/>
    <w:rsid w:val="00052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69B"/>
    <w:rPr>
      <w:rFonts w:eastAsiaTheme="majorEastAsia" w:cstheme="majorBidi"/>
      <w:color w:val="272727" w:themeColor="text1" w:themeTint="D8"/>
    </w:rPr>
  </w:style>
  <w:style w:type="paragraph" w:styleId="Title">
    <w:name w:val="Title"/>
    <w:basedOn w:val="Normal"/>
    <w:next w:val="Normal"/>
    <w:link w:val="TitleChar"/>
    <w:uiPriority w:val="10"/>
    <w:qFormat/>
    <w:rsid w:val="00052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69B"/>
    <w:pPr>
      <w:spacing w:before="160"/>
      <w:jc w:val="center"/>
    </w:pPr>
    <w:rPr>
      <w:i/>
      <w:iCs/>
      <w:color w:val="404040" w:themeColor="text1" w:themeTint="BF"/>
    </w:rPr>
  </w:style>
  <w:style w:type="character" w:customStyle="1" w:styleId="QuoteChar">
    <w:name w:val="Quote Char"/>
    <w:basedOn w:val="DefaultParagraphFont"/>
    <w:link w:val="Quote"/>
    <w:uiPriority w:val="29"/>
    <w:rsid w:val="0005269B"/>
    <w:rPr>
      <w:i/>
      <w:iCs/>
      <w:color w:val="404040" w:themeColor="text1" w:themeTint="BF"/>
    </w:rPr>
  </w:style>
  <w:style w:type="paragraph" w:styleId="ListParagraph">
    <w:name w:val="List Paragraph"/>
    <w:basedOn w:val="Normal"/>
    <w:uiPriority w:val="34"/>
    <w:qFormat/>
    <w:rsid w:val="0005269B"/>
    <w:pPr>
      <w:ind w:left="720"/>
      <w:contextualSpacing/>
    </w:pPr>
  </w:style>
  <w:style w:type="character" w:styleId="IntenseEmphasis">
    <w:name w:val="Intense Emphasis"/>
    <w:basedOn w:val="DefaultParagraphFont"/>
    <w:uiPriority w:val="21"/>
    <w:qFormat/>
    <w:rsid w:val="0005269B"/>
    <w:rPr>
      <w:i/>
      <w:iCs/>
      <w:color w:val="0F4761" w:themeColor="accent1" w:themeShade="BF"/>
    </w:rPr>
  </w:style>
  <w:style w:type="paragraph" w:styleId="IntenseQuote">
    <w:name w:val="Intense Quote"/>
    <w:basedOn w:val="Normal"/>
    <w:next w:val="Normal"/>
    <w:link w:val="IntenseQuoteChar"/>
    <w:uiPriority w:val="30"/>
    <w:qFormat/>
    <w:rsid w:val="00052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69B"/>
    <w:rPr>
      <w:i/>
      <w:iCs/>
      <w:color w:val="0F4761" w:themeColor="accent1" w:themeShade="BF"/>
    </w:rPr>
  </w:style>
  <w:style w:type="character" w:styleId="IntenseReference">
    <w:name w:val="Intense Reference"/>
    <w:basedOn w:val="DefaultParagraphFont"/>
    <w:uiPriority w:val="32"/>
    <w:qFormat/>
    <w:rsid w:val="0005269B"/>
    <w:rPr>
      <w:b/>
      <w:bCs/>
      <w:smallCaps/>
      <w:color w:val="0F4761" w:themeColor="accent1" w:themeShade="BF"/>
      <w:spacing w:val="5"/>
    </w:rPr>
  </w:style>
  <w:style w:type="paragraph" w:styleId="Caption">
    <w:name w:val="caption"/>
    <w:basedOn w:val="Normal"/>
    <w:next w:val="Normal"/>
    <w:uiPriority w:val="35"/>
    <w:semiHidden/>
    <w:unhideWhenUsed/>
    <w:qFormat/>
    <w:rsid w:val="009F234D"/>
    <w:pPr>
      <w:spacing w:after="200" w:line="240" w:lineRule="auto"/>
    </w:pPr>
    <w:rPr>
      <w:i/>
      <w:iCs/>
      <w:color w:val="0E2841" w:themeColor="text2"/>
      <w:sz w:val="18"/>
      <w:szCs w:val="18"/>
    </w:rPr>
  </w:style>
  <w:style w:type="character" w:styleId="Hyperlink">
    <w:name w:val="Hyperlink"/>
    <w:basedOn w:val="DefaultParagraphFont"/>
    <w:uiPriority w:val="99"/>
    <w:unhideWhenUsed/>
    <w:rsid w:val="00723B6A"/>
    <w:rPr>
      <w:color w:val="467886" w:themeColor="hyperlink"/>
      <w:u w:val="single"/>
    </w:rPr>
  </w:style>
  <w:style w:type="paragraph" w:styleId="NormalWeb">
    <w:name w:val="Normal (Web)"/>
    <w:basedOn w:val="Normal"/>
    <w:uiPriority w:val="99"/>
    <w:semiHidden/>
    <w:unhideWhenUsed/>
    <w:rsid w:val="00F467CE"/>
    <w:pPr>
      <w:spacing w:before="100" w:beforeAutospacing="1" w:after="100" w:afterAutospacing="1" w:line="240" w:lineRule="auto"/>
    </w:pPr>
    <w:rPr>
      <w:rFonts w:ascii="Times New Roman" w:eastAsia="Times New Roman" w:hAnsi="Times New Roman" w:cs="Times New Roman"/>
      <w:kern w:val="0"/>
      <w:lang w:eastAsia="es-P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1751</Words>
  <Characters>9981</Characters>
  <Application>Microsoft Office Word</Application>
  <DocSecurity>0</DocSecurity>
  <Lines>207</Lines>
  <Paragraphs>109</Paragraphs>
  <ScaleCrop>false</ScaleCrop>
  <Company/>
  <LinksUpToDate>false</LinksUpToDate>
  <CharactersWithSpaces>11623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Carmelo II Allende Martinez</dc:creator>
  <cp:keywords/>
  <dc:description/>
  <cp:lastModifiedBy>Carmelo Allende</cp:lastModifiedBy>
  <cp:revision>20</cp:revision>
  <dcterms:created xsi:type="dcterms:W3CDTF">2026-04-10T23:19:00Z</dcterms:created>
  <dcterms:modified xsi:type="dcterms:W3CDTF">2026-04-11T19:02:00Z</dcterms:modified>
</cp:coreProperties>
</file>