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KVoF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KVCache over Fabric Protocol</w:t>
      </w:r>
    </w:p>
    <w:p>
      <w:pPr>
        <w:spacing w:after="3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Design Specification v0.2</w:t>
      </w:r>
    </w:p>
    <w:p>
      <w:pPr>
        <w:pBdr>
          <w:top w:val="single" w:color="2E75B6" w:sz="2" w:space="8"/>
        </w:pBdr>
        <w:spacing w:after="160" w:before="16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3"/>
          <w:szCs w:val="23"/>
        </w:rPr>
        <w:t xml:space="preserve">LLM 推理场景下的 KVCache 原生存储协议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NPU/GPU 发起访存 | SSD 端硬化执行 | Token 级聚合读 | 可硬化报文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传输层: RoCE / PCIe / 华为 UB 解耦设计</w:t>
      </w:r>
    </w:p>
    <w:p>
      <w:pPr>
        <w:spacing w:after="600"/>
      </w:pP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CONFIDENTIAL - DRAFT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2026.04 v0.2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背景与设计动机</w:t>
      </w:r>
    </w:p>
    <w:p>
      <w:pPr>
        <w:pStyle w:val="Heading2"/>
      </w:pPr>
      <w:r>
        <w:t xml:space="preserve">1.1 问题背景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LLM 自回归推理分为 Prefill（计算密集、批量写 KVCache）和 Decode（内存带宽密集、每步读取全部 KVCache）两个阶段。随着模型规模和上下文窗口的扩展，KVCache 已成为推理系统的核心资源瓶颈，被分布在 GPU HBM、CPU DRAM、SSD 和远程节点上形成多级存储层次。然而，当前缺乏专为 KVCache 访问模式设计的原生传输协议。</w:t>
      </w:r>
    </w:p>
    <w:p>
      <w:pPr>
        <w:pStyle w:val="Heading2"/>
      </w:pPr>
      <w:r>
        <w:t xml:space="preserve">1.2 设计原则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本协议遵循以下核心设计原则：</w:t>
      </w:r>
    </w:p>
    <w:p>
      <w:pPr>
        <w:spacing w:after="4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原则 1: NPU/GPU 为访存发起方 (Initiator)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KV 访存请求始终由 NPU/GPU 端（或其 Host CPU 代理）发起。NPU/GPU 是注意力计算的执行者，知道哪些 token 的 KV 需要读取、何时读取、写入哪个层的 KV。存储端是被动的 Target，负责执行命令并返回数据。这与 NVMe 的 Host/Controller 模型一致。</w:t>
      </w:r>
    </w:p>
    <w:p>
      <w:pPr>
        <w:spacing w:after="4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原则 2: 硬化处理部署在 SSD 控制器端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KVoF 的报文解析、bitmap 处理、KV gather/scatter 等操作部署在 SSD 控制器（或其配套的 SmartNIC/DPU）上硬件化执行。SSD 控制器具备报文解析引擎、DMA 引擎和内部 SRAM，可在线速处理 KVoF 命令而无需 Host CPU 参与。这与 NVMe SSD 控制器处理 NVMe 命令的模式类似。</w:t>
      </w:r>
    </w:p>
    <w:p>
      <w:pPr>
        <w:spacing w:after="4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原则 3: 报文可硬化解析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所有字段固定偏移、固定宽度，无变长编码，无 TLV，无字符串。硬件可用纽羞组合逻辑直接提取字段，无需状态机解析。</w:t>
      </w:r>
    </w:p>
    <w:p>
      <w:pPr>
        <w:spacing w:after="4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原则 4: Token 级访问语义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原生支持按 (namespace, layer, head, token_position) 读写 KV，而非复用块存储的 LBA 或集合通信的内存拷贝语义。</w:t>
      </w:r>
    </w:p>
    <w:p>
      <w:pPr>
        <w:spacing w:after="4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原则 5: 随路聚合消除读放大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通过 bitmap 指定块内有效 token，存储端只读取并聚合有效数据返回，消除无效 token 的读放大。</w:t>
      </w:r>
    </w:p>
    <w:p>
      <w:pPr>
        <w:spacing w:after="40"/>
      </w:pP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原则 6: 传输层解耦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协议层与传输层分离，统一支持 RoCE v2、PCIe (CXL)、华为 UB 等多种传输介质。</w:t>
      </w:r>
    </w:p>
    <w:p>
      <w:r>
        <w:br w:type="page"/>
      </w:r>
    </w:p>
    <w:p>
      <w:pPr>
        <w:pStyle w:val="Heading1"/>
      </w:pPr>
      <w:r>
        <w:t xml:space="preserve">2. Token KV 存储大小分析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报文格式和聚合策略的设计必须基于主流模型的 token KV 存储大小。每个 token 的 KV entry 大小 = 2 × head_dim × dtype_size（K 和 V 各一个 head_dim 向量）。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表 1: 主流模型每个 token 的 KV entry 大小 (单层单头)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200"/>
        <w:gridCol w:w="1200"/>
        <w:gridCol w:w="1100"/>
        <w:gridCol w:w="1100"/>
        <w:gridCol w:w="9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head_dim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kv_heads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FP8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INT8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INT4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Llama-3-70B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512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256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256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 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Llama-3-8B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512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256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256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 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Qwen-2.5-72B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512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256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256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 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DeepSeek-V3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(MLA)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256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64 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Mistral-7B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512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256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256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128 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32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关键结论: </w:t>
      </w:r>
      <w:r>
        <w:rPr>
          <w:rFonts w:ascii="Arial" w:cs="Arial" w:eastAsia="Arial" w:hAnsi="Arial"/>
          <w:sz w:val="21"/>
          <w:szCs w:val="21"/>
        </w:rPr>
        <w:t xml:space="preserve">主流模型的单 token KV entry 为 256B~512B (FP16/FP8)。这意味着：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Block 粒度 (16 token): </w:t>
      </w:r>
      <w:r>
        <w:rPr>
          <w:rFonts w:ascii="Arial" w:cs="Arial" w:eastAsia="Arial" w:hAnsi="Arial"/>
          <w:sz w:val="21"/>
          <w:szCs w:val="21"/>
        </w:rPr>
        <w:t xml:space="preserve">16 × 512B = 8KB/层/头，接近 SSD 最小高效 IO 单元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Block 粒度 (256 token): </w:t>
      </w:r>
      <w:r>
        <w:rPr>
          <w:rFonts w:ascii="Arial" w:cs="Arial" w:eastAsia="Arial" w:hAnsi="Arial"/>
          <w:sz w:val="21"/>
          <w:szCs w:val="21"/>
        </w:rPr>
        <w:t xml:space="preserve">256 × 512B = 128KB/层/头，接近 RDMA 最优传输单元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单 token IO: </w:t>
      </w:r>
      <w:r>
        <w:rPr>
          <w:rFonts w:ascii="Arial" w:cs="Arial" w:eastAsia="Arial" w:hAnsi="Arial"/>
          <w:sz w:val="21"/>
          <w:szCs w:val="21"/>
        </w:rPr>
        <w:t xml:space="preserve">512B 远小于网络 MTU (4KB+)，协议开销占比极高，必须聚合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这直接驱动了 KVoF 的块内 bitmap 聚合设计: </w:t>
      </w:r>
      <w:r>
        <w:rPr>
          <w:rFonts w:ascii="Arial" w:cs="Arial" w:eastAsia="Arial" w:hAnsi="Arial"/>
          <w:sz w:val="21"/>
          <w:szCs w:val="21"/>
        </w:rPr>
        <w:t xml:space="preserve">以 block 为寻址单元，以 bitmap 标记块内有效 token，聚合返回。</w:t>
      </w:r>
    </w:p>
    <w:p>
      <w:r>
        <w:br w:type="page"/>
      </w:r>
    </w:p>
    <w:p>
      <w:pPr>
        <w:pStyle w:val="Heading1"/>
      </w:pPr>
      <w:r>
        <w:t xml:space="preserve">3. 报文格式设计</w:t>
      </w:r>
    </w:p>
    <w:p>
      <w:pPr>
        <w:pStyle w:val="Heading2"/>
      </w:pPr>
      <w:r>
        <w:t xml:space="preserve">3.1 Command Capsule: 32B 固定报文头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经过分析，KVoF 采用 32 字节固定报文头</w:t>
      </w:r>
      <w:r>
        <w:rPr>
          <w:rFonts w:ascii="Arial" w:cs="Arial" w:eastAsia="Arial" w:hAnsi="Arial"/>
          <w:sz w:val="21"/>
          <w:szCs w:val="21"/>
        </w:rPr>
        <w:t xml:space="preserve">（而非 v0.1 的 64B）。详细字段定义如下：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表 2: KVoF Command Capsule 报文头 (32 字节)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700"/>
        <w:gridCol w:w="58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宽度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固定值 0x4B56 ('KV')。硬件用此字段做报文快速识别，区分 KVoF 报文与其他流量。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opcode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命令操作码。定义 8 种操作: 0x01=WRITE, 0x02=READ, 0x03=SCATTER_READ, 0x04=AGGR_READ, 0x05=PREFETCH, 0x06=EVICT, 0x07=DELETE。硬件直接查表分发到对应执行流水线。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flags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bit[0]: inline_data (报文后跟随内联数据); bit[1]: completion_irq (要求中断通知); bit[3:2]: priority (0=low, 3=urgent)。硬件可按 priority 优先处理高优先级命令。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cmd_id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命令标识符。用于匹配 Completion 响应。Initiator (GPU 端) 分配，在单个连接内唯一。65536 个并发命令对推理场景充足。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6-7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nsid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命名空间 ID (16 bit)。标识一个独立的 KVCache 实例，通常对应一个推理请求或会话。详见 3.3 节分析。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layer_id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层编号 (0~255)。当前最大模型 126 层 (DeepSeek-V3)，1 字节充足。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head_id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 头编号 (0~255)。GQA 模型通常 1~8 个 KV 头，1 字节充足。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kv_meta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bit[3:0]: kv_dtype (0=FP16,1=BF16,2=FP8,3=INT8,4=INT4); bit[11:4]: head_dim/4 (压缩表示，128→32); bit[15:12]: reserved。硬件用 dtype+head_dim 计算 kv_entry_size。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12-14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block_addr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块起始地址 (24 bit)。以 block 为单位寻址，block_size 由配置确定 (16/32/64/128/256 token)。支持 16M 个 block，对于 256 token/block，覆盖 4G token。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block_count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块数量 (1~255)。WRITE/READ 时指定连续块数; SCATTER/AGGR_READ 时通常为 1 (单块 + bitmap)。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16-19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bitmap_desc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bitmap 描述符。bit[15:0]: bitmap_offset (相对报文尾的偏移，字节); bit[23:16]: bitmap_length (字节数，最大 256 字节 = 2048 bit = 覆盖 2048 token/block); bit[31:24]: reserved。全 0 表示无 bitmap (读取整块)。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20-23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data_desc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数据描述符。bit[15:0]: data_offset (内联数据偏移); bit[31:16]: data_length (内联数据长度，字节)。用于 KV_WRITE 携带小量 KV 数据。大块数据通过 SGL 或 RDMA Read 传输。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24-27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sgl_addr_low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SGL 地址低 32 位。指向 Initiator 内存中的 SGL 列表，每个 SGL entry 描述一个数据 segment。对于 READ 类命令，SGL 指向 GPU 接收 buffer。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28-31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sgl_addr_high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0x1C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SGL 地址高 32 位。与 sgl_addr_low 组成 64 位虚拟地址，支持 GPU HBM 地址空间。bit[63:48] 可编码 SGL entry 数量。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Completion Capsule: 16B 固定响应报文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表 3: KVoF Completion Capsule (16 字节)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700"/>
        <w:gridCol w:w="56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偏移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宽度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cmd_id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对应的命令 ID，与 Command Capsule 的 cmd_id 匹配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0x00=SUCCESS, 0x01=NOT_FOUND, 0x02=PARTIAL, 0x03=BUSY, 0xFF=ERROR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actual_blocks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实际处理的块数 (可能 &lt; 请求的 block_count)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4-5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actual_tokens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聚合读时实际返回的有效 token 数 (bitmap 中部分 token 可能已被淘汰)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6-9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latency_ns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Target 端处理延迟 (ns)，用于 Initiator 的性能监控和调度决策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10-13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data_length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实际返回的数据总长度 (bytes)，Initiator 用此确定接收 buffer 中的有效范围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14-15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reserved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0x0E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2B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保留，置 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nsid 16 bit 可行性分析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结论: 16 bit nsid (65536 个命名空间) 充足且更优。</w:t>
      </w:r>
      <w:r>
        <w:rPr>
          <w:rFonts w:ascii="Arial" w:cs="Arial" w:eastAsia="Arial" w:hAnsi="Arial"/>
          <w:sz w:val="21"/>
          <w:szCs w:val="21"/>
        </w:rPr>
        <w:t xml:space="preserve">理由如下：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单节点并发请求数: </w:t>
      </w:r>
      <w:r>
        <w:rPr>
          <w:rFonts w:ascii="Arial" w:cs="Arial" w:eastAsia="Arial" w:hAnsi="Arial"/>
          <w:sz w:val="21"/>
          <w:szCs w:val="21"/>
        </w:rPr>
        <w:t xml:space="preserve">单个 GPU 节点的 decode 并发请求数受 VRAM 约束，Llama-70B 在 8×A100 上最多约 200-500 个并发请求。即使算上多节点共享一个 SSD 存储池，16 bit 可支持 65536 个并发命名空间，远超实际需求。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节省报文空间: </w:t>
      </w:r>
      <w:r>
        <w:rPr>
          <w:rFonts w:ascii="Arial" w:cs="Arial" w:eastAsia="Arial" w:hAnsi="Arial"/>
          <w:sz w:val="21"/>
          <w:szCs w:val="21"/>
        </w:rPr>
        <w:t xml:space="preserve">16 bit vs 32 bit 节省 2 字节，用于其他关键字段 (如 kv_meta)，使 32B 报文头成为可能。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复用机制: </w:t>
      </w:r>
      <w:r>
        <w:rPr>
          <w:rFonts w:ascii="Arial" w:cs="Arial" w:eastAsia="Arial" w:hAnsi="Arial"/>
          <w:sz w:val="21"/>
          <w:szCs w:val="21"/>
        </w:rPr>
        <w:t xml:space="preserve">前缀缓存共享可通过 nsid 别名 (alias) 实现——多个 nsid 指向同一物理 KV 区域，无需占用额外 nsid。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对比 NVMe: </w:t>
      </w:r>
      <w:r>
        <w:rPr>
          <w:rFonts w:ascii="Arial" w:cs="Arial" w:eastAsia="Arial" w:hAnsi="Arial"/>
          <w:sz w:val="21"/>
          <w:szCs w:val="21"/>
        </w:rPr>
        <w:t xml:space="preserve">NVMe 使用 32 bit NSID，但那是因为 NVMe 设备可能有数千个持久化分区。KVCache 的 namespace 是请求级短生命周期对象，同时存活数远小于 65536。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如果未来确实需要更大的 namespace 空间，可利用 sgl_addr_high 的高 16 bit 扩展为 32 bit nsid，保持前向兼容。</w:t>
      </w:r>
    </w:p>
    <w:p>
      <w:pPr>
        <w:spacing w:after="80"/>
      </w:pPr>
    </w:p>
    <w:p>
      <w:pPr>
        <w:pStyle w:val="Heading2"/>
      </w:pPr>
      <w:r>
        <w:t xml:space="preserve">3.4 32B vs 64B 报文长度分析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结论: 32B 报文头优于 64B。</w:t>
      </w:r>
      <w:r>
        <w:rPr>
          <w:rFonts w:ascii="Arial" w:cs="Arial" w:eastAsia="Arial" w:hAnsi="Arial"/>
          <w:sz w:val="21"/>
          <w:szCs w:val="21"/>
        </w:rPr>
        <w:t xml:space="preserve">详细分析：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表 4: 32B vs 64B 报文头对比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32B 报文头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64B 报文头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硬件解析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1次 32B DMA 读取即可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1次 64B DMA 或 2次 32B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PCIe 对齐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对齐 32B (PCIe Gen5 flit)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对齐 64B cache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NVMe 兼容性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= NVMe SQE 大小 (64B), 可复用 SQ/CQ 硬件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也 = 64B，同样兼容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协议开销占比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聚合读 512 token: 32B/(512×512B)=0.012%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聚合读 512 token: 64B/256KB=0.024%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小 IO 场景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单 token 读: 32B/512B=6.25%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单 token 读: 64B/512B=12.5%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SSD 队列深度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32B×1024 entries = 32KB SQ 内存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64B×1024 entries = 64KB SQ 内存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字段充足性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紧凑但充足 (无 reserved)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宽裕，有 8-16B reserved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可硬化复杂度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更少的寄存器和比较器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稍多硬件资源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决策理由: </w:t>
      </w:r>
      <w:r>
        <w:rPr>
          <w:rFonts w:ascii="Arial" w:cs="Arial" w:eastAsia="Arial" w:hAnsi="Arial"/>
          <w:sz w:val="21"/>
          <w:szCs w:val="21"/>
        </w:rPr>
        <w:t xml:space="preserve">32B 在小 IO 场景下协议开销减半，SSD 控制器的 SQ 内存占用减半，硬件解析更快。虽然字段更紧凑，但通过 layer_id/head_id 压缩到 1B、nsid 压缩到 2B、使用块寻址代替 token 寻址等设计，32B 完全能容纳所有必要字段。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注: NVMe 的 SQE 同样是 64B，但其中包含 PRP/SGL (32B)。KVoF 将 SGL 地址嵌入报文头，而非额外带外 (out-of-band) 传输，因此 32B 已等效于 NVMe 的 64B SQE。在 PCIe binding 下，可将两个 32B KVoF SQE 打包在一个 64B cache line 中传输，进一步提升效率。</w:t>
      </w:r>
    </w:p>
    <w:p>
      <w:r>
        <w:br w:type="page"/>
      </w:r>
    </w:p>
    <w:p>
      <w:pPr>
        <w:pStyle w:val="Heading1"/>
      </w:pPr>
      <w:r>
        <w:t xml:space="preserve">4. Bitmap 聚合读设计</w:t>
      </w:r>
    </w:p>
    <w:p>
      <w:pPr>
        <w:pStyle w:val="Heading2"/>
      </w:pPr>
      <w:r>
        <w:t xml:space="preserve">4.1 块内 Token Bitmap 机制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核心思想: </w:t>
      </w:r>
      <w:r>
        <w:rPr>
          <w:rFonts w:ascii="Arial" w:cs="Arial" w:eastAsia="Arial" w:hAnsi="Arial"/>
          <w:sz w:val="21"/>
          <w:szCs w:val="21"/>
        </w:rPr>
        <w:t xml:space="preserve">以 block 为寻址单元 (粗粒度)，以 bitmap 标记块内有效 token (细粒度)，存储端只读取并聚合有效 token 的 KV 返回。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工作流程：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GPU 端确定需要读取的 token 范围: </w:t>
      </w:r>
      <w:r>
        <w:rPr>
          <w:rFonts w:ascii="Arial" w:cs="Arial" w:eastAsia="Arial" w:hAnsi="Arial"/>
          <w:sz w:val="21"/>
          <w:szCs w:val="21"/>
        </w:rPr>
        <w:t xml:space="preserve">例如 token 0~255 中只有 token 3,7,15,42,100,200 有效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将 token 范围映射到 block: </w:t>
      </w:r>
      <w:r>
        <w:rPr>
          <w:rFonts w:ascii="Arial" w:cs="Arial" w:eastAsia="Arial" w:hAnsi="Arial"/>
          <w:sz w:val="21"/>
          <w:szCs w:val="21"/>
        </w:rPr>
        <w:t xml:space="preserve">token 0~255 属于 block 0 (假设 block_size=256)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生成 bitmap: </w:t>
      </w:r>
      <w:r>
        <w:rPr>
          <w:rFonts w:ascii="Arial" w:cs="Arial" w:eastAsia="Arial" w:hAnsi="Arial"/>
          <w:sz w:val="21"/>
          <w:szCs w:val="21"/>
        </w:rPr>
        <w:t xml:space="preserve">256 bit (32 字节) 的位图，其中 bit 3,7,15,42,100,200 置 1，其余置 0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组装报文: </w:t>
      </w:r>
      <w:r>
        <w:rPr>
          <w:rFonts w:ascii="Arial" w:cs="Arial" w:eastAsia="Arial" w:hAnsi="Arial"/>
          <w:sz w:val="21"/>
          <w:szCs w:val="21"/>
        </w:rPr>
        <w:t xml:space="preserve">Command Capsule 中 block_addr=0, block_count=1, bitmap_desc 指向 32B 的 bitmap 数据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SSD 控制器解析: </w:t>
      </w:r>
      <w:r>
        <w:rPr>
          <w:rFonts w:ascii="Arial" w:cs="Arial" w:eastAsia="Arial" w:hAnsi="Arial"/>
          <w:sz w:val="21"/>
          <w:szCs w:val="21"/>
        </w:rPr>
        <w:t xml:space="preserve">解析 opcode=AGGR_READ，读取 bitmap，遍历有效位，计算每个有效 token 的 KV 地址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Gather + 返回: </w:t>
      </w:r>
      <w:r>
        <w:rPr>
          <w:rFonts w:ascii="Arial" w:cs="Arial" w:eastAsia="Arial" w:hAnsi="Arial"/>
          <w:sz w:val="21"/>
          <w:szCs w:val="21"/>
        </w:rPr>
        <w:t xml:space="preserve">SSD 从闪存/DRAM 中 gather 6 个 token 的 KV (6×512B=3KB)，聚合到连续 buffer，通过 DMA/RDMA 写入 GPU 内存</w:t>
      </w:r>
    </w:p>
    <w:p>
      <w:pPr>
        <w:spacing w:after="60"/>
      </w:pPr>
    </w:p>
    <w:p>
      <w:pPr>
        <w:pStyle w:val="Heading2"/>
      </w:pPr>
      <w:r>
        <w:t xml:space="preserve">4.2 Bitmap 大小与 Block Size 的关系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表 5: 不同 block_size 下的 bitmap 大小和 IO 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600"/>
        <w:gridCol w:w="1400"/>
        <w:gridCol w:w="1200"/>
        <w:gridCol w:w="1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block_size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bitmap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 KV
(FP16,单层头)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报文总开销
(32B+bitmap)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开销占比
(vs block KV)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SSD寻址
空间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16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128M token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SSD 小块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32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16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256M token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DRAM 小块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64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32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512M token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通用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128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64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1G token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RDMA 优化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256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32B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128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2G token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Prefill 写入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512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256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96B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0.04%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4G token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长上下文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推荐配置: </w:t>
      </w:r>
      <w:r>
        <w:rPr>
          <w:rFonts w:ascii="Arial" w:cs="Arial" w:eastAsia="Arial" w:hAnsi="Arial"/>
          <w:sz w:val="21"/>
          <w:szCs w:val="21"/>
        </w:rPr>
        <w:t xml:space="preserve">SSD 存储场景推荐 block_size=64~128 token，bitmap = 8~16B，与 32B 报文头一起总开销 40~48B，相对于 block KV 数据 (32~64KB) 的开销占比 &lt;0.15%。</w:t>
      </w:r>
    </w:p>
    <w:p>
      <w:pPr>
        <w:spacing w:after="60"/>
      </w:pPr>
    </w:p>
    <w:p>
      <w:pPr>
        <w:pStyle w:val="Heading2"/>
      </w:pPr>
      <w:r>
        <w:t xml:space="preserve">4.3 聚合读收益分析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假设 Llama-70B, FP16, 4096 token 上下文, block_size=128 token, 稀疏注意力有效率 25%: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不用聚合: </w:t>
      </w:r>
      <w:r>
        <w:rPr>
          <w:rFonts w:ascii="Arial" w:cs="Arial" w:eastAsia="Arial" w:hAnsi="Arial"/>
          <w:sz w:val="21"/>
          <w:szCs w:val="21"/>
        </w:rPr>
        <w:t xml:space="preserve">读 4096 个 token 的 KV = 4096 × 512B = 2MB/层/头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使用聚合: </w:t>
      </w:r>
      <w:r>
        <w:rPr>
          <w:rFonts w:ascii="Arial" w:cs="Arial" w:eastAsia="Arial" w:hAnsi="Arial"/>
          <w:sz w:val="21"/>
          <w:szCs w:val="21"/>
        </w:rPr>
        <w:t xml:space="preserve">只读 1024 个有效 token 的 KV = 1024 × 512B = 512KB/层/头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带宽节省: </w:t>
      </w:r>
      <w:r>
        <w:rPr>
          <w:rFonts w:ascii="Arial" w:cs="Arial" w:eastAsia="Arial" w:hAnsi="Arial"/>
          <w:sz w:val="21"/>
          <w:szCs w:val="21"/>
        </w:rPr>
        <w:t xml:space="preserve">75% (2MB → 512KB)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IO 数量: </w:t>
      </w:r>
      <w:r>
        <w:rPr>
          <w:rFonts w:ascii="Arial" w:cs="Arial" w:eastAsia="Arial" w:hAnsi="Arial"/>
          <w:sz w:val="21"/>
          <w:szCs w:val="21"/>
        </w:rPr>
        <w:t xml:space="preserve">从 4096 个单 token IO 降为 32 个 block IO (4096/128)，每个带 bitmap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bitmap 总开销: </w:t>
      </w:r>
      <w:r>
        <w:rPr>
          <w:rFonts w:ascii="Arial" w:cs="Arial" w:eastAsia="Arial" w:hAnsi="Arial"/>
          <w:sz w:val="21"/>
          <w:szCs w:val="21"/>
        </w:rPr>
        <w:t xml:space="preserve">32 blocks × 16B/bitmap = 512B，相对于 512KB 有效数据可忽略不计</w:t>
      </w:r>
    </w:p>
    <w:p>
      <w:r>
        <w:br w:type="page"/>
      </w:r>
    </w:p>
    <w:p>
      <w:pPr>
        <w:pStyle w:val="Heading1"/>
      </w:pPr>
      <w:r>
        <w:t xml:space="preserve">5. SCATTER_READ 与 AGGREGATE_READ 的区别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这两个命令都用于 Decode 阶段读取部分 token 的 KV，但数据处理位置和返回格式完全不同：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表 6: SCATTER_READ vs AGGREGATE_READ 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KV_SCATTER_READ (0x03)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KV_AGGREGATE_READ (0x04)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语义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散读: 存储端读取整块，分散写入多个 GPU buffer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聚合读: 存储端聚合有效 token，连续写入单个 GPU 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bitmap 用途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指定哪些 token 有效，但数据仍按原位置写入 (带空洞)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指定哪些 token 有效，数据聚合后紧凑连续写入 (无空洞)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GPU buffer 布局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与完整序列一致，无效 token 位置留空。GPU 注意力 kernel 可用标准偏移访问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紧凑排列，无空洞。GPU kernel 需知道第 i 个有效 token 对应原序列的哪个位置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传输量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= 整块大小 (block_count × block_KV_size)，包含无效 token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= 有效 token 数 × kv_entry_size，无浪费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存储端复杂度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低: 只需连续读 + 多 SGL 写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高: 需 gather 离散 token + 聚合到连续 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GPU kernel 复杂度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低: 标准偏移访问，只需跳过无效位置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中: 需要 index 映射表知道每个紧凑位置对应的原始 position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带宽效率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低: 传输了无效 token 的数据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高: 只传输有效数据，零浪费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典型用途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稀疏率低 (&gt;50% 有效) 的场景，或需保持原位置布局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稀疏率高 (&lt;50% 有效) 的场景，带宽敏感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硬件实现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DMA scatter-write (已有硬件支持)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DMA gather-read + 聚合 buffer (需新硬件逻辑)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选择策略: 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稀疏率 &gt; 50% (多数 token 无效): </w:t>
      </w:r>
      <w:r>
        <w:rPr>
          <w:rFonts w:ascii="Arial" w:cs="Arial" w:eastAsia="Arial" w:hAnsi="Arial"/>
          <w:sz w:val="21"/>
          <w:szCs w:val="21"/>
        </w:rPr>
        <w:t xml:space="preserve">用 AGGREGATE_READ，带宽节省显著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稀疏率 &lt; 50% (多数 token 有效): </w:t>
      </w:r>
      <w:r>
        <w:rPr>
          <w:rFonts w:ascii="Arial" w:cs="Arial" w:eastAsia="Arial" w:hAnsi="Arial"/>
          <w:sz w:val="21"/>
          <w:szCs w:val="21"/>
        </w:rPr>
        <w:t xml:space="preserve">用 SCATTER_READ 或普通 READ，避免聚合开销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Prefill 阶段: </w:t>
      </w:r>
      <w:r>
        <w:rPr>
          <w:rFonts w:ascii="Arial" w:cs="Arial" w:eastAsia="Arial" w:hAnsi="Arial"/>
          <w:sz w:val="21"/>
          <w:szCs w:val="21"/>
        </w:rPr>
        <w:t xml:space="preserve">整块读写，用 READ/WRITE，无需 bitmap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实践中，Decode 阶段的有效 token 比例通常在 10%~40% (H2O/StreamingLLM 等研究显示)，因此 AGGREGATE_READ 是主要使用的命令。</w:t>
      </w:r>
    </w:p>
    <w:p>
      <w:r>
        <w:br w:type="page"/>
      </w:r>
    </w:p>
    <w:p>
      <w:pPr>
        <w:pStyle w:val="Heading1"/>
      </w:pPr>
      <w:r>
        <w:t xml:space="preserve">6. 交互流程设计</w:t>
      </w:r>
    </w:p>
    <w:p>
      <w:pPr>
        <w:pStyle w:val="Heading2"/>
      </w:pPr>
      <w:r>
        <w:t xml:space="preserve">6.1 Prefill 写入流程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场景: GPU 完成一层 prefill，将 256 token 的 KV 写入 SSD存储。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GPU Host 组装 KV_WRITE Capsule: </w:t>
      </w:r>
      <w:r>
        <w:rPr>
          <w:rFonts w:ascii="Arial" w:cs="Arial" w:eastAsia="Arial" w:hAnsi="Arial"/>
          <w:sz w:val="21"/>
          <w:szCs w:val="21"/>
        </w:rPr>
        <w:t xml:space="preserve">opcode=0x01, block_addr=target_block, block_count=1, bitmap_desc=0 (无 bitmap，整块写), data_desc 指向 KV 数据 (128KB)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通过 PCIe 将 Capsule 写入 SSD SQ: </w:t>
      </w:r>
      <w:r>
        <w:rPr>
          <w:rFonts w:ascii="Arial" w:cs="Arial" w:eastAsia="Arial" w:hAnsi="Arial"/>
          <w:sz w:val="21"/>
          <w:szCs w:val="21"/>
        </w:rPr>
        <w:t xml:space="preserve">32B Capsule 写入 SSD Submission Queue 的下一个 slot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SSD 控制器解析: </w:t>
      </w:r>
      <w:r>
        <w:rPr>
          <w:rFonts w:ascii="Arial" w:cs="Arial" w:eastAsia="Arial" w:hAnsi="Arial"/>
          <w:sz w:val="21"/>
          <w:szCs w:val="21"/>
        </w:rPr>
        <w:t xml:space="preserve">读取 32B Capsule，提取 opcode、block_addr、data_desc，计算写入位置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SSD DMA 拉取 KV 数据: </w:t>
      </w:r>
      <w:r>
        <w:rPr>
          <w:rFonts w:ascii="Arial" w:cs="Arial" w:eastAsia="Arial" w:hAnsi="Arial"/>
          <w:sz w:val="21"/>
          <w:szCs w:val="21"/>
        </w:rPr>
        <w:t xml:space="preserve">通过 SGL 地址从 GPU/Host 内存 DMA 读取 128KB KV data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SSD 写入闪存: </w:t>
      </w:r>
      <w:r>
        <w:rPr>
          <w:rFonts w:ascii="Arial" w:cs="Arial" w:eastAsia="Arial" w:hAnsi="Arial"/>
          <w:sz w:val="21"/>
          <w:szCs w:val="21"/>
        </w:rPr>
        <w:t xml:space="preserve">将 KV data 写入 NAND/DRAM cache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SSD 发送 Completion: </w:t>
      </w:r>
      <w:r>
        <w:rPr>
          <w:rFonts w:ascii="Arial" w:cs="Arial" w:eastAsia="Arial" w:hAnsi="Arial"/>
          <w:sz w:val="21"/>
          <w:szCs w:val="21"/>
        </w:rPr>
        <w:t xml:space="preserve">16B Completion Capsule 写入 CQ，status=SUCCESS</w:t>
      </w:r>
    </w:p>
    <w:p>
      <w:pPr>
        <w:pStyle w:val="Heading2"/>
      </w:pPr>
      <w:r>
        <w:t xml:space="preserve">6.2 Decode 聚合读流程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场景: Decode step N，GPU 需要 block 5 中 128 个 token 里的 32 个有效 token 的 KV (25% 有效率)。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GPU 端生成 bitmap: </w:t>
      </w:r>
      <w:r>
        <w:rPr>
          <w:rFonts w:ascii="Arial" w:cs="Arial" w:eastAsia="Arial" w:hAnsi="Arial"/>
          <w:sz w:val="21"/>
          <w:szCs w:val="21"/>
        </w:rPr>
        <w:t xml:space="preserve">128 bit = 16B 的位图，标记 32 个有效 token 的位置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组装 KV_AGGR_READ Capsule: </w:t>
      </w:r>
      <w:r>
        <w:rPr>
          <w:rFonts w:ascii="Arial" w:cs="Arial" w:eastAsia="Arial" w:hAnsi="Arial"/>
          <w:sz w:val="21"/>
          <w:szCs w:val="21"/>
        </w:rPr>
        <w:t xml:space="preserve">opcode=0x04, block_addr=5, block_count=1, bitmap_desc=(指向 16B bitmap)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SSD 控制器解析: </w:t>
      </w:r>
      <w:r>
        <w:rPr>
          <w:rFonts w:ascii="Arial" w:cs="Arial" w:eastAsia="Arial" w:hAnsi="Arial"/>
          <w:sz w:val="21"/>
          <w:szCs w:val="21"/>
        </w:rPr>
        <w:t xml:space="preserve">读取 32B Capsule + 16B bitmap = 48B 总控制开销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SSD Gather: </w:t>
      </w:r>
      <w:r>
        <w:rPr>
          <w:rFonts w:ascii="Arial" w:cs="Arial" w:eastAsia="Arial" w:hAnsi="Arial"/>
          <w:sz w:val="21"/>
          <w:szCs w:val="21"/>
        </w:rPr>
        <w:t xml:space="preserve">遍历 bitmap 32 个有效位，从 DRAM/闪存中读取对应 KV = 32×512B = 16KB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聚合并返回: </w:t>
      </w:r>
      <w:r>
        <w:rPr>
          <w:rFonts w:ascii="Arial" w:cs="Arial" w:eastAsia="Arial" w:hAnsi="Arial"/>
          <w:sz w:val="21"/>
          <w:szCs w:val="21"/>
        </w:rPr>
        <w:t xml:space="preserve">16KB 数据聚合到连续 buffer，DMA 写入 GPU 内存 (SGL 指向的地址)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Completion: </w:t>
      </w:r>
      <w:r>
        <w:rPr>
          <w:rFonts w:ascii="Arial" w:cs="Arial" w:eastAsia="Arial" w:hAnsi="Arial"/>
          <w:sz w:val="21"/>
          <w:szCs w:val="21"/>
        </w:rPr>
        <w:t xml:space="preserve">16B Completion，actual_tokens=32, data_length=16384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效果: </w:t>
      </w:r>
      <w:r>
        <w:rPr>
          <w:rFonts w:ascii="Arial" w:cs="Arial" w:eastAsia="Arial" w:hAnsi="Arial"/>
          <w:sz w:val="21"/>
          <w:szCs w:val="21"/>
        </w:rPr>
        <w:t xml:space="preserve">传输量从整块 64KB 降为 16KB，节省 75% 带宽。1 个 IO 完成，而非 32 个单 token IO。</w:t>
      </w:r>
    </w:p>
    <w:p>
      <w:r>
        <w:br w:type="page"/>
      </w:r>
    </w:p>
    <w:p>
      <w:pPr>
        <w:pStyle w:val="Heading1"/>
      </w:pPr>
      <w:r>
        <w:t xml:space="preserve">7. 传输层 Binding</w:t>
      </w:r>
    </w:p>
    <w:p>
      <w:pPr>
        <w:pStyle w:val="Heading2"/>
      </w:pPr>
      <w:r>
        <w:t xml:space="preserve">7.1 PCIe Binding (节点内 GPU↔SSD)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最常见场景: GPU Host 通过 PCIe 访问本地 KVCache SSD。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SQ/CQ 机制: </w:t>
      </w:r>
      <w:r>
        <w:rPr>
          <w:rFonts w:ascii="Arial" w:cs="Arial" w:eastAsia="Arial" w:hAnsi="Arial"/>
          <w:sz w:val="21"/>
          <w:szCs w:val="21"/>
        </w:rPr>
        <w:t xml:space="preserve">复用 NVMe 的 SQ/CQ 硬件，但 SQE 格式为 32B KVoF Capsule (或用 64B NVMe SQE 封装 KVoF)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数据传输: </w:t>
      </w:r>
      <w:r>
        <w:rPr>
          <w:rFonts w:ascii="Arial" w:cs="Arial" w:eastAsia="Arial" w:hAnsi="Arial"/>
          <w:sz w:val="21"/>
          <w:szCs w:val="21"/>
        </w:rPr>
        <w:t xml:space="preserve">SSD 控制器通过 PCIe DMA 读写 GPU/Host 内存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GPUDirect Storage: </w:t>
      </w:r>
      <w:r>
        <w:rPr>
          <w:rFonts w:ascii="Arial" w:cs="Arial" w:eastAsia="Arial" w:hAnsi="Arial"/>
          <w:sz w:val="21"/>
          <w:szCs w:val="21"/>
        </w:rPr>
        <w:t xml:space="preserve">支持 SSD DMA 直接读写 GPU HBM，无需 CPU bounce buffer</w:t>
      </w:r>
    </w:p>
    <w:p>
      <w:pPr>
        <w:pStyle w:val="Heading2"/>
      </w:pPr>
      <w:r>
        <w:t xml:space="preserve">7.2 RoCE v2 Binding (跨节点)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P/D 分离场景: Decode 节点 GPU 访问远程节点的 KVCache SSD。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命令通道: </w:t>
      </w:r>
      <w:r>
        <w:rPr>
          <w:rFonts w:ascii="Arial" w:cs="Arial" w:eastAsia="Arial" w:hAnsi="Arial"/>
          <w:sz w:val="21"/>
          <w:szCs w:val="21"/>
        </w:rPr>
        <w:t xml:space="preserve">RDMA Send/Recv 传输 32B Command + 16B Completion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数据通道: </w:t>
      </w:r>
      <w:r>
        <w:rPr>
          <w:rFonts w:ascii="Arial" w:cs="Arial" w:eastAsia="Arial" w:hAnsi="Arial"/>
          <w:sz w:val="21"/>
          <w:szCs w:val="21"/>
        </w:rPr>
        <w:t xml:space="preserve">远程 SSD 端 SmartNIC 完成聚合后 RDMA Write 到 GPU 内存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bitmap 传输: </w:t>
      </w:r>
      <w:r>
        <w:rPr>
          <w:rFonts w:ascii="Arial" w:cs="Arial" w:eastAsia="Arial" w:hAnsi="Arial"/>
          <w:sz w:val="21"/>
          <w:szCs w:val="21"/>
        </w:rPr>
        <w:t xml:space="preserve">嵌入 Command 或作为第一个 RDMA Send 的 payload</w:t>
      </w:r>
    </w:p>
    <w:p>
      <w:pPr>
        <w:pStyle w:val="Heading2"/>
      </w:pPr>
      <w:r>
        <w:t xml:space="preserve">7.3 华为 UB Binding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映射方式: </w:t>
      </w:r>
      <w:r>
        <w:rPr>
          <w:rFonts w:ascii="Arial" w:cs="Arial" w:eastAsia="Arial" w:hAnsi="Arial"/>
          <w:sz w:val="21"/>
          <w:szCs w:val="21"/>
        </w:rPr>
        <w:t xml:space="preserve">KVoF Capsule 封装为 UB message，调用 UB send/recv 原语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UB 聚合加速: </w:t>
      </w:r>
      <w:r>
        <w:rPr>
          <w:rFonts w:ascii="Arial" w:cs="Arial" w:eastAsia="Arial" w:hAnsi="Arial"/>
          <w:sz w:val="21"/>
          <w:szCs w:val="21"/>
        </w:rPr>
        <w:t xml:space="preserve">UB 硬件原生支持细粒度 gather/scatter，可将 AGGREGATE_READ 的 gather 逻辑卸载到 UB 硬件</w:t>
      </w:r>
    </w:p>
    <w:p>
      <w:r>
        <w:br w:type="page"/>
      </w:r>
    </w:p>
    <w:p>
      <w:pPr>
        <w:pStyle w:val="Heading1"/>
      </w:pPr>
      <w:r>
        <w:t xml:space="preserve">8. 总结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本文档完成了 KVoF v0.2 协议的核心设计，主要贡献总结：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 条设计原则: </w:t>
      </w:r>
      <w:r>
        <w:rPr>
          <w:rFonts w:ascii="Arial" w:cs="Arial" w:eastAsia="Arial" w:hAnsi="Arial"/>
          <w:sz w:val="21"/>
          <w:szCs w:val="21"/>
        </w:rPr>
        <w:t xml:space="preserve">NPU/GPU 发起 + SSD 硬化执行 + 报文可硬化 + Token 语义 + 聚合消放大 + 传输解耦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32B 报文头设计: </w:t>
      </w:r>
      <w:r>
        <w:rPr>
          <w:rFonts w:ascii="Arial" w:cs="Arial" w:eastAsia="Arial" w:hAnsi="Arial"/>
          <w:sz w:val="21"/>
          <w:szCs w:val="21"/>
        </w:rPr>
        <w:t xml:space="preserve">字段级详细定义，对比分析确认 32B 优于 64B (PCIe flit 对齐、小 IO 开销减半)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16B Completion: </w:t>
      </w:r>
      <w:r>
        <w:rPr>
          <w:rFonts w:ascii="Arial" w:cs="Arial" w:eastAsia="Arial" w:hAnsi="Arial"/>
          <w:sz w:val="21"/>
          <w:szCs w:val="21"/>
        </w:rPr>
        <w:t xml:space="preserve">包含 actual_tokens、latency_ns 等 KV 原生字段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nsid 16 bit: </w:t>
      </w:r>
      <w:r>
        <w:rPr>
          <w:rFonts w:ascii="Arial" w:cs="Arial" w:eastAsia="Arial" w:hAnsi="Arial"/>
          <w:sz w:val="21"/>
          <w:szCs w:val="21"/>
        </w:rPr>
        <w:t xml:space="preserve">经分析充足且更优，节省报文空间，预留扩展路径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Bitmap 聚合读: </w:t>
      </w:r>
      <w:r>
        <w:rPr>
          <w:rFonts w:ascii="Arial" w:cs="Arial" w:eastAsia="Arial" w:hAnsi="Arial"/>
          <w:sz w:val="21"/>
          <w:szCs w:val="21"/>
        </w:rPr>
        <w:t xml:space="preserve">基于主流 token KV 大小 (256~512B) 分析，块寻址 + 块内 bitmap 的设计可节省 50~90% 带宽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SCATTER vs AGGREGATE: </w:t>
      </w:r>
      <w:r>
        <w:rPr>
          <w:rFonts w:ascii="Arial" w:cs="Arial" w:eastAsia="Arial" w:hAnsi="Arial"/>
          <w:sz w:val="21"/>
          <w:szCs w:val="21"/>
        </w:rPr>
        <w:t xml:space="preserve">明确两者的语义差异——SCATTER 保持原位置布局但传输无效数据，AGGREGATE 聚合并紧凑返回但需索引映射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完整交互流程: </w:t>
      </w:r>
      <w:r>
        <w:rPr>
          <w:rFonts w:ascii="Arial" w:cs="Arial" w:eastAsia="Arial" w:hAnsi="Arial"/>
          <w:sz w:val="21"/>
          <w:szCs w:val="21"/>
        </w:rPr>
        <w:t xml:space="preserve">Prefill 写入 / Decode 聚合读 两个典型场景的端到端流程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7"/>
        <w:szCs w:val="17"/>
      </w:rPr>
      <w:t xml:space="preserve"> / 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KVoF Protocol Design Specification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2026-04-07T02:22:02.844Z</dcterms:created>
  <dcterms:modified xsi:type="dcterms:W3CDTF">2026-04-07T02:22:02.845Z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