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3C5BF" w14:textId="6C0230C1" w:rsidR="00BB519F" w:rsidRDefault="00A3240C">
      <w:pPr>
        <w:rPr>
          <w:rFonts w:ascii="仿宋" w:hAnsi="仿宋"/>
          <w:b/>
          <w:sz w:val="24"/>
        </w:rPr>
      </w:pPr>
      <w:r w:rsidRPr="00A3240C">
        <w:rPr>
          <w:rFonts w:ascii="仿宋" w:hAnsi="仿宋" w:hint="eastAsia"/>
          <w:b/>
          <w:sz w:val="24"/>
        </w:rPr>
        <w:t>多种多样的运算放大器</w:t>
      </w:r>
    </w:p>
    <w:p w14:paraId="2B154099" w14:textId="695BE7F3" w:rsidR="00A3240C" w:rsidRDefault="00A3240C">
      <w:pPr>
        <w:rPr>
          <w:rFonts w:ascii="仿宋" w:hAnsi="仿宋"/>
          <w:b/>
          <w:sz w:val="24"/>
        </w:rPr>
      </w:pPr>
    </w:p>
    <w:p w14:paraId="338E4749" w14:textId="4B2C9F8C" w:rsidR="00647BA2" w:rsidRPr="00647BA2" w:rsidRDefault="00647BA2" w:rsidP="00647BA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hAnsi="仿宋"/>
          <w:b/>
        </w:rPr>
      </w:pPr>
      <w:r w:rsidRPr="00647BA2">
        <w:rPr>
          <w:rFonts w:ascii="仿宋" w:hAnsi="仿宋" w:hint="eastAsia"/>
          <w:b/>
        </w:rPr>
        <w:t>电流反馈型运算放大器</w:t>
      </w:r>
      <w:r w:rsidRPr="00647BA2">
        <w:rPr>
          <w:b/>
        </w:rPr>
        <w:t>(CFA)</w:t>
      </w:r>
    </w:p>
    <w:p w14:paraId="43877700" w14:textId="793CBE9F" w:rsidR="00647BA2" w:rsidRDefault="00964291" w:rsidP="00964291">
      <w:pPr>
        <w:spacing w:line="360" w:lineRule="auto"/>
        <w:ind w:left="420" w:firstLine="360"/>
      </w:pPr>
      <w:r w:rsidRPr="00964291">
        <w:t>CFA</w:t>
      </w:r>
      <w:r>
        <w:rPr>
          <w:rFonts w:hint="eastAsia"/>
        </w:rPr>
        <w:t>仍然是运放的一种，但是其内部结构不同于电压反馈型</w:t>
      </w:r>
      <w:r>
        <w:rPr>
          <w:rFonts w:hint="eastAsia"/>
        </w:rPr>
        <w:t>(</w:t>
      </w:r>
      <w:r>
        <w:t>VFA)</w:t>
      </w:r>
      <w:r>
        <w:rPr>
          <w:rFonts w:hint="eastAsia"/>
        </w:rPr>
        <w:t>，导致其外部特性有所不同。但是</w:t>
      </w:r>
      <w:r>
        <w:rPr>
          <w:rFonts w:hint="eastAsia"/>
        </w:rPr>
        <w:t>C</w:t>
      </w:r>
      <w:r>
        <w:t>FA</w:t>
      </w:r>
      <w:r>
        <w:rPr>
          <w:rFonts w:hint="eastAsia"/>
        </w:rPr>
        <w:t>和</w:t>
      </w:r>
      <w:r>
        <w:t>VFA</w:t>
      </w:r>
      <w:r>
        <w:rPr>
          <w:rFonts w:hint="eastAsia"/>
        </w:rPr>
        <w:t>组成的放大电路从外表来看没有什么区别。</w:t>
      </w:r>
      <w:r w:rsidRPr="00964291">
        <w:rPr>
          <w:rFonts w:hint="eastAsia"/>
          <w:color w:val="FF0000"/>
        </w:rPr>
        <w:t>但是，处于谨慎，还是需要进行一定的分析。</w:t>
      </w:r>
    </w:p>
    <w:p w14:paraId="67DA91B1" w14:textId="5079E7A4" w:rsidR="00964291" w:rsidRDefault="00964291" w:rsidP="00964291">
      <w:pPr>
        <w:spacing w:line="360" w:lineRule="auto"/>
        <w:ind w:left="420" w:firstLine="360"/>
      </w:pPr>
      <w:r>
        <w:rPr>
          <w:rFonts w:hint="eastAsia"/>
        </w:rPr>
        <w:t>如图是</w:t>
      </w:r>
      <w:r>
        <w:rPr>
          <w:rFonts w:hint="eastAsia"/>
        </w:rPr>
        <w:t>C</w:t>
      </w:r>
      <w:r>
        <w:t>FA</w:t>
      </w:r>
      <w:r>
        <w:rPr>
          <w:rFonts w:hint="eastAsia"/>
        </w:rPr>
        <w:t>的内部结构。</w:t>
      </w:r>
      <w:r>
        <w:t>CFA</w:t>
      </w:r>
      <w:r>
        <w:rPr>
          <w:rFonts w:hint="eastAsia"/>
        </w:rPr>
        <w:t>通过很小的阻抗</w:t>
      </w:r>
      <w:r>
        <w:rPr>
          <w:rFonts w:hint="eastAsia"/>
        </w:rPr>
        <w:t>Z</w:t>
      </w:r>
      <w:r>
        <w:rPr>
          <w:vertAlign w:val="subscript"/>
        </w:rPr>
        <w:t>B</w:t>
      </w:r>
      <w:r>
        <w:rPr>
          <w:rFonts w:hint="eastAsia"/>
        </w:rPr>
        <w:t>将入端压</w:t>
      </w:r>
      <w:proofErr w:type="gramStart"/>
      <w:r>
        <w:rPr>
          <w:rFonts w:hint="eastAsia"/>
        </w:rPr>
        <w:t>差转变为入端</w:t>
      </w:r>
      <w:proofErr w:type="gramEnd"/>
      <w:r>
        <w:rPr>
          <w:rFonts w:hint="eastAsia"/>
        </w:rPr>
        <w:t>电流，然后用此电流作为控制源</w:t>
      </w:r>
      <w:r w:rsidR="00D75191">
        <w:rPr>
          <w:rFonts w:hint="eastAsia"/>
        </w:rPr>
        <w:t>。通过</w:t>
      </w:r>
      <w:r w:rsidR="000C073F">
        <w:rPr>
          <w:rFonts w:hint="eastAsia"/>
        </w:rPr>
        <w:t>内部的很大的阻抗</w:t>
      </w:r>
      <w:r w:rsidR="000C073F">
        <w:rPr>
          <w:rFonts w:hint="eastAsia"/>
        </w:rPr>
        <w:t>Z</w:t>
      </w:r>
      <w:r w:rsidR="000C073F">
        <w:rPr>
          <w:rFonts w:hint="eastAsia"/>
        </w:rPr>
        <w:t>，形成电压。</w:t>
      </w:r>
    </w:p>
    <w:p w14:paraId="6FB85F62" w14:textId="7162FE0E" w:rsidR="002D1D8D" w:rsidRDefault="002D1D8D" w:rsidP="002D1D8D">
      <w:pPr>
        <w:spacing w:line="360" w:lineRule="auto"/>
        <w:ind w:left="420"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B95B17" wp14:editId="75212651">
            <wp:extent cx="2664663" cy="176427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79" cy="1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103D" w14:textId="372FE950" w:rsidR="000C073F" w:rsidRDefault="000C073F" w:rsidP="00964291">
      <w:pPr>
        <w:spacing w:line="360" w:lineRule="auto"/>
        <w:ind w:left="420" w:firstLine="360"/>
      </w:pPr>
      <w:r>
        <w:rPr>
          <w:rFonts w:hint="eastAsia"/>
        </w:rPr>
        <w:t>可以看出</w:t>
      </w:r>
      <w:r>
        <w:rPr>
          <w:rFonts w:hint="eastAsia"/>
        </w:rPr>
        <w:t>C</w:t>
      </w:r>
      <w:r>
        <w:t>FA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FA</w:t>
      </w:r>
      <w:r>
        <w:rPr>
          <w:rFonts w:hint="eastAsia"/>
        </w:rPr>
        <w:t>最大的区别在于负输入端，</w:t>
      </w:r>
      <w:r>
        <w:rPr>
          <w:rFonts w:hint="eastAsia"/>
        </w:rPr>
        <w:t>C</w:t>
      </w:r>
      <w:r>
        <w:t>FA</w:t>
      </w:r>
      <w:r>
        <w:rPr>
          <w:rFonts w:hint="eastAsia"/>
        </w:rPr>
        <w:t>的负输入端是低阻的。</w:t>
      </w:r>
    </w:p>
    <w:p w14:paraId="44167336" w14:textId="787F7913" w:rsidR="002D1D8D" w:rsidRDefault="002D1D8D" w:rsidP="00964291">
      <w:pPr>
        <w:spacing w:line="360" w:lineRule="auto"/>
        <w:ind w:left="420" w:firstLine="360"/>
        <w:rPr>
          <w:rFonts w:hint="eastAsia"/>
        </w:rPr>
      </w:pPr>
      <w:r>
        <w:rPr>
          <w:rFonts w:hint="eastAsia"/>
        </w:rPr>
        <w:t>以下是一个</w:t>
      </w:r>
      <w:r>
        <w:t>CFA</w:t>
      </w:r>
      <w:r>
        <w:rPr>
          <w:rFonts w:hint="eastAsia"/>
        </w:rPr>
        <w:t>的同相放大器的应用案例。</w:t>
      </w:r>
    </w:p>
    <w:p w14:paraId="77C7283B" w14:textId="64ACF3ED" w:rsidR="002D1D8D" w:rsidRDefault="002D1D8D" w:rsidP="002D1D8D">
      <w:pPr>
        <w:spacing w:line="360" w:lineRule="auto"/>
        <w:ind w:left="420" w:firstLine="360"/>
        <w:jc w:val="center"/>
      </w:pPr>
      <w:r>
        <w:rPr>
          <w:noProof/>
        </w:rPr>
        <w:drawing>
          <wp:inline distT="0" distB="0" distL="0" distR="0" wp14:anchorId="528FF556" wp14:editId="3A2CD325">
            <wp:extent cx="2576222" cy="164790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6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C1DC" w14:textId="066C09EA" w:rsidR="002D1D8D" w:rsidRPr="00464661" w:rsidRDefault="002D1D8D" w:rsidP="002D1D8D">
      <w:pPr>
        <w:spacing w:line="360" w:lineRule="auto"/>
        <w:ind w:left="420" w:firstLine="360"/>
        <w:rPr>
          <w:color w:val="4472C4" w:themeColor="accent1"/>
        </w:rPr>
      </w:pPr>
      <w:r w:rsidRPr="00464661">
        <w:rPr>
          <w:rFonts w:hint="eastAsia"/>
          <w:color w:val="4472C4" w:themeColor="accent1"/>
        </w:rPr>
        <w:t>具体的分析过程如下：</w:t>
      </w:r>
    </w:p>
    <w:p w14:paraId="79C519BD" w14:textId="3BD11E6E" w:rsidR="002D1D8D" w:rsidRPr="00464661" w:rsidRDefault="002D1D8D" w:rsidP="002D1D8D">
      <w:pPr>
        <w:spacing w:line="360" w:lineRule="auto"/>
        <w:ind w:left="420" w:firstLine="360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sub>
              </m:sSub>
            </m:den>
          </m:f>
        </m:oMath>
      </m:oMathPara>
    </w:p>
    <w:p w14:paraId="6089301C" w14:textId="61614218" w:rsidR="002D1D8D" w:rsidRPr="00464661" w:rsidRDefault="002D1D8D" w:rsidP="002D1D8D">
      <w:pPr>
        <w:spacing w:line="360" w:lineRule="auto"/>
        <w:ind w:left="420" w:firstLine="360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F</m:t>
                  </m:r>
                </m:sub>
              </m:sSub>
            </m:den>
          </m:f>
        </m:oMath>
      </m:oMathPara>
    </w:p>
    <w:p w14:paraId="3A89517D" w14:textId="0E0D992A" w:rsidR="002D1D8D" w:rsidRPr="00464661" w:rsidRDefault="002D1D8D" w:rsidP="002D1D8D">
      <w:pPr>
        <w:spacing w:line="360" w:lineRule="auto"/>
        <w:ind w:left="420" w:firstLine="360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sub>
              </m:sSub>
            </m:den>
          </m:f>
        </m:oMath>
      </m:oMathPara>
    </w:p>
    <w:p w14:paraId="5BB42689" w14:textId="5336A7F6" w:rsidR="002D1D8D" w:rsidRPr="00464661" w:rsidRDefault="002D1D8D" w:rsidP="002D1D8D">
      <w:pPr>
        <w:spacing w:line="360" w:lineRule="auto"/>
        <w:ind w:left="420" w:firstLine="360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r>
            <w:rPr>
              <w:rFonts w:ascii="Cambria Math" w:hAnsi="Cambria Math"/>
              <w:color w:val="4472C4" w:themeColor="accen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F</m:t>
              </m:r>
            </m:sub>
          </m:sSub>
        </m:oMath>
      </m:oMathPara>
    </w:p>
    <w:p w14:paraId="72D65B4B" w14:textId="5B59917F" w:rsidR="002D1D8D" w:rsidRPr="00464661" w:rsidRDefault="002D1D8D" w:rsidP="002D1D8D">
      <w:pPr>
        <w:spacing w:line="360" w:lineRule="auto"/>
        <w:ind w:left="420" w:firstLine="360"/>
        <w:rPr>
          <w:rFonts w:hint="eastAsia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r>
            <w:rPr>
              <w:rFonts w:ascii="Cambria Math" w:hAnsi="Cambria Math"/>
              <w:color w:val="4472C4" w:themeColor="accent1"/>
            </w:rPr>
            <m:t>iZ</m:t>
          </m:r>
        </m:oMath>
      </m:oMathPara>
    </w:p>
    <w:p w14:paraId="1FBA2F5D" w14:textId="6EF10D37" w:rsidR="00647BA2" w:rsidRPr="00464661" w:rsidRDefault="002D1D8D" w:rsidP="00647BA2">
      <w:pPr>
        <w:spacing w:line="360" w:lineRule="auto"/>
        <w:rPr>
          <w:rFonts w:ascii="仿宋" w:hAnsi="仿宋"/>
          <w:color w:val="4472C4" w:themeColor="accent1"/>
        </w:rPr>
      </w:pPr>
      <w:r w:rsidRPr="00464661">
        <w:rPr>
          <w:rFonts w:ascii="仿宋" w:hAnsi="仿宋"/>
          <w:color w:val="4472C4" w:themeColor="accent1"/>
        </w:rPr>
        <w:tab/>
      </w:r>
      <w:r w:rsidRPr="00464661">
        <w:rPr>
          <w:rFonts w:ascii="仿宋" w:hAnsi="仿宋"/>
          <w:color w:val="4472C4" w:themeColor="accent1"/>
        </w:rPr>
        <w:tab/>
      </w:r>
      <w:r w:rsidRPr="00464661">
        <w:rPr>
          <w:rFonts w:ascii="仿宋" w:hAnsi="仿宋" w:hint="eastAsia"/>
          <w:color w:val="4472C4" w:themeColor="accent1"/>
        </w:rPr>
        <w:t>经过代入、整理可得：</w:t>
      </w:r>
    </w:p>
    <w:p w14:paraId="3094EDBE" w14:textId="72CFD729" w:rsidR="00000F37" w:rsidRPr="00464661" w:rsidRDefault="000906CF" w:rsidP="00647BA2">
      <w:pPr>
        <w:spacing w:line="360" w:lineRule="auto"/>
        <w:rPr>
          <w:rFonts w:ascii="仿宋" w:hAnsi="仿宋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F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Z</m:t>
                  </m:r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×</m:t>
              </m:r>
              <m:r>
                <w:rPr>
                  <w:rFonts w:ascii="Cambria Math" w:hAnsi="Cambria Math"/>
                  <w:color w:val="4472C4" w:themeColor="accen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)</m:t>
              </m:r>
            </m:den>
          </m:f>
          <m:r>
            <w:rPr>
              <w:rFonts w:ascii="Cambria Math" w:hAnsi="Cambria Math"/>
              <w:color w:val="4472C4" w:themeColor="accent1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sub>
              </m:sSub>
            </m:den>
          </m:f>
        </m:oMath>
      </m:oMathPara>
    </w:p>
    <w:p w14:paraId="4C91025E" w14:textId="5E8838F0" w:rsidR="00464661" w:rsidRDefault="00464661" w:rsidP="00647BA2">
      <w:pPr>
        <w:spacing w:line="360" w:lineRule="auto"/>
        <w:rPr>
          <w:rFonts w:ascii="仿宋" w:hAnsi="仿宋"/>
          <w:color w:val="4472C4" w:themeColor="accent1"/>
        </w:rPr>
      </w:pPr>
      <w:r>
        <w:rPr>
          <w:rFonts w:ascii="仿宋" w:hAnsi="仿宋"/>
          <w:color w:val="4472C4" w:themeColor="accent1"/>
        </w:rPr>
        <w:tab/>
      </w:r>
      <w:r>
        <w:rPr>
          <w:rFonts w:ascii="仿宋" w:hAnsi="仿宋"/>
          <w:color w:val="4472C4" w:themeColor="accent1"/>
        </w:rPr>
        <w:tab/>
      </w:r>
      <w:r>
        <w:rPr>
          <w:rFonts w:ascii="仿宋" w:hAnsi="仿宋" w:hint="eastAsia"/>
          <w:color w:val="4472C4" w:themeColor="accent1"/>
        </w:rPr>
        <w:t>同理可以推出反相输入放大器电压增益是</w:t>
      </w:r>
    </w:p>
    <w:p w14:paraId="2AFD3312" w14:textId="697E12AF" w:rsidR="00464661" w:rsidRPr="00464661" w:rsidRDefault="00464661" w:rsidP="00647BA2">
      <w:pPr>
        <w:spacing w:line="360" w:lineRule="auto"/>
        <w:rPr>
          <w:rFonts w:ascii="仿宋" w:hAnsi="仿宋" w:hint="eastAsia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r>
            <w:rPr>
              <w:rFonts w:ascii="Cambria Math" w:hAnsi="Cambria Math"/>
              <w:color w:val="4472C4" w:themeColor="accent1"/>
            </w:rPr>
            <m:t>≈</m:t>
          </m:r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sub>
              </m:sSub>
            </m:den>
          </m:f>
        </m:oMath>
      </m:oMathPara>
    </w:p>
    <w:p w14:paraId="56EEF8FA" w14:textId="015814D7" w:rsidR="00647BA2" w:rsidRDefault="00647BA2" w:rsidP="00647BA2">
      <w:pPr>
        <w:spacing w:line="360" w:lineRule="auto"/>
        <w:rPr>
          <w:rFonts w:ascii="仿宋" w:hAnsi="仿宋"/>
        </w:rPr>
      </w:pPr>
    </w:p>
    <w:p w14:paraId="3B9C96F5" w14:textId="7B7F26FA" w:rsidR="0082415C" w:rsidRDefault="0082415C" w:rsidP="0082415C">
      <w:pPr>
        <w:spacing w:line="360" w:lineRule="auto"/>
        <w:ind w:left="420" w:firstLine="420"/>
      </w:pPr>
      <w:r>
        <w:rPr>
          <w:rFonts w:ascii="仿宋" w:hAnsi="仿宋" w:hint="eastAsia"/>
        </w:rPr>
        <w:t>在不考虑频率特</w:t>
      </w:r>
      <w:r w:rsidRPr="0082415C">
        <w:t>性的情况下，</w:t>
      </w:r>
      <w:r w:rsidRPr="0082415C">
        <w:t>CFA</w:t>
      </w:r>
      <w:r w:rsidRPr="0082415C">
        <w:t>和</w:t>
      </w:r>
      <w:r w:rsidRPr="0082415C">
        <w:t>VFA</w:t>
      </w:r>
      <w:r>
        <w:rPr>
          <w:rFonts w:hint="eastAsia"/>
        </w:rPr>
        <w:t>表现出的电压反馈放大器性能类似。但是，</w:t>
      </w:r>
      <w:proofErr w:type="gramStart"/>
      <w:r>
        <w:rPr>
          <w:rFonts w:hint="eastAsia"/>
        </w:rPr>
        <w:t>当考虑</w:t>
      </w:r>
      <w:proofErr w:type="gramEnd"/>
      <w:r>
        <w:rPr>
          <w:rFonts w:hint="eastAsia"/>
        </w:rPr>
        <w:t>频率特性时，电流反馈放大器就表现出优异的性能。</w:t>
      </w:r>
    </w:p>
    <w:p w14:paraId="58073E0E" w14:textId="2B2360E0" w:rsidR="0082415C" w:rsidRDefault="0082415C" w:rsidP="0082415C">
      <w:pPr>
        <w:spacing w:line="360" w:lineRule="auto"/>
        <w:ind w:left="420" w:firstLine="420"/>
      </w:pPr>
      <w:r w:rsidRPr="0082415C">
        <w:t>CFA</w:t>
      </w:r>
      <w:r w:rsidRPr="0082415C">
        <w:rPr>
          <w:rFonts w:hint="eastAsia"/>
        </w:rPr>
        <w:t>内部</w:t>
      </w:r>
      <w:r w:rsidR="006B41EC">
        <w:rPr>
          <w:rFonts w:hint="eastAsia"/>
        </w:rPr>
        <w:t>影响</w:t>
      </w:r>
      <w:r w:rsidR="002D34CE">
        <w:rPr>
          <w:rFonts w:hint="eastAsia"/>
        </w:rPr>
        <w:t>频率特性的主要因素是</w:t>
      </w:r>
      <w:r w:rsidR="002D34CE">
        <w:rPr>
          <w:rFonts w:hint="eastAsia"/>
        </w:rPr>
        <w:t>Z</w:t>
      </w:r>
      <w:r w:rsidR="002D34CE">
        <w:rPr>
          <w:rFonts w:hint="eastAsia"/>
        </w:rPr>
        <w:t>，极大的</w:t>
      </w:r>
      <w:r w:rsidR="002D34CE">
        <w:rPr>
          <w:rFonts w:hint="eastAsia"/>
        </w:rPr>
        <w:t>Z</w:t>
      </w:r>
      <w:r w:rsidR="002D34CE">
        <w:rPr>
          <w:rFonts w:hint="eastAsia"/>
        </w:rPr>
        <w:t>必然存在并联的杂散电容</w:t>
      </w:r>
      <w:r w:rsidR="002D34CE">
        <w:rPr>
          <w:rFonts w:hint="eastAsia"/>
        </w:rPr>
        <w:t>C</w:t>
      </w:r>
      <w:r w:rsidR="002D34CE">
        <w:rPr>
          <w:rFonts w:hint="eastAsia"/>
        </w:rPr>
        <w:t>，因此</w:t>
      </w:r>
    </w:p>
    <w:p w14:paraId="074832CB" w14:textId="0BEA2ADF" w:rsidR="002D34CE" w:rsidRDefault="002D34CE" w:rsidP="0082415C">
      <w:pPr>
        <w:spacing w:line="360" w:lineRule="auto"/>
        <w:ind w:left="420" w:firstLine="4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=R//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1+jωRC</m:t>
              </m:r>
            </m:den>
          </m:f>
        </m:oMath>
      </m:oMathPara>
    </w:p>
    <w:p w14:paraId="307D5DB4" w14:textId="51DE9588" w:rsidR="002D34CE" w:rsidRDefault="002D34CE" w:rsidP="0082415C">
      <w:pPr>
        <w:spacing w:line="360" w:lineRule="auto"/>
        <w:ind w:left="420" w:firstLine="420"/>
      </w:pPr>
      <w:r>
        <w:rPr>
          <w:rFonts w:hint="eastAsia"/>
        </w:rPr>
        <w:t>将</w:t>
      </w:r>
      <w:r>
        <w:t>Z</w:t>
      </w:r>
      <w:r>
        <w:rPr>
          <w:rFonts w:hint="eastAsia"/>
        </w:rPr>
        <w:t>代入上文中推导过程。</w:t>
      </w:r>
    </w:p>
    <w:p w14:paraId="631B71AC" w14:textId="4E667A97" w:rsidR="002D34CE" w:rsidRPr="00D10A2F" w:rsidRDefault="00D10A2F" w:rsidP="0082415C">
      <w:pPr>
        <w:spacing w:line="360" w:lineRule="auto"/>
        <w:ind w:left="420" w:firstLine="4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1+jωRC</m:t>
                  </m:r>
                </m:e>
              </m:d>
            </m:den>
          </m:f>
        </m:oMath>
      </m:oMathPara>
    </w:p>
    <w:p w14:paraId="4C79C799" w14:textId="19C0F17E" w:rsidR="00D10A2F" w:rsidRPr="00D10A2F" w:rsidRDefault="00891C4B" w:rsidP="0082415C">
      <w:pPr>
        <w:spacing w:line="360" w:lineRule="auto"/>
        <w:ind w:left="420"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den>
              </m:f>
            </m:den>
          </m:f>
        </m:oMath>
      </m:oMathPara>
    </w:p>
    <w:p w14:paraId="22C875E3" w14:textId="4A6DA571" w:rsidR="00891C4B" w:rsidRDefault="00891C4B" w:rsidP="00891C4B">
      <w:pPr>
        <w:spacing w:line="360" w:lineRule="auto"/>
        <w:ind w:left="420" w:firstLine="42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，将其代入</w:t>
      </w:r>
      <w:r w:rsidR="00C54B8F">
        <w:rPr>
          <w:rFonts w:hint="eastAsia"/>
        </w:rPr>
        <w:t>后可以得到：</w:t>
      </w:r>
    </w:p>
    <w:p w14:paraId="38A8A687" w14:textId="7302FF9E" w:rsidR="00C54B8F" w:rsidRPr="00C54B8F" w:rsidRDefault="00C54B8F" w:rsidP="00891C4B">
      <w:pPr>
        <w:spacing w:line="360" w:lineRule="auto"/>
        <w:ind w:left="420" w:firstLine="4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den>
              </m:f>
            </m:den>
          </m:f>
        </m:oMath>
      </m:oMathPara>
    </w:p>
    <w:p w14:paraId="102B847A" w14:textId="4C2A074B" w:rsidR="00C54B8F" w:rsidRDefault="00C54B8F" w:rsidP="00C54B8F">
      <w:pPr>
        <w:spacing w:line="360" w:lineRule="auto"/>
        <w:ind w:left="420" w:firstLine="420"/>
      </w:pPr>
      <w:r>
        <w:rPr>
          <w:rFonts w:hint="eastAsia"/>
        </w:rPr>
        <w:t>其中令低频基础增益为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>
        <w:rPr>
          <w:rFonts w:hint="eastAsia"/>
        </w:rPr>
        <w:t>，增益系数为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den>
        </m:f>
      </m:oMath>
    </w:p>
    <w:p w14:paraId="0366B87E" w14:textId="09107648" w:rsidR="00814AF5" w:rsidRDefault="00814AF5" w:rsidP="00C54B8F">
      <w:pPr>
        <w:spacing w:line="360" w:lineRule="auto"/>
        <w:ind w:left="420" w:firstLine="4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1+jωC(R//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FBBBB74" w14:textId="3AD4869F" w:rsidR="00814AF5" w:rsidRDefault="00814AF5" w:rsidP="00C54B8F">
      <w:pPr>
        <w:spacing w:line="360" w:lineRule="auto"/>
        <w:ind w:left="420" w:firstLine="420"/>
      </w:pPr>
      <w:r>
        <w:rPr>
          <w:rFonts w:hint="eastAsia"/>
        </w:rPr>
        <w:t>可以看到，电流反馈放大器组成的同相放大电路。上限截止频率为</w:t>
      </w:r>
    </w:p>
    <w:p w14:paraId="063D4F51" w14:textId="03732C3C" w:rsidR="00814AF5" w:rsidRDefault="00814AF5" w:rsidP="00C54B8F">
      <w:pPr>
        <w:spacing w:line="360" w:lineRule="auto"/>
        <w:ind w:left="42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2πC(R//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CD0F77A" w14:textId="16E707B9" w:rsidR="00814AF5" w:rsidRDefault="00814AF5" w:rsidP="00814AF5">
      <w:pPr>
        <w:spacing w:line="360" w:lineRule="auto"/>
        <w:ind w:left="420" w:firstLine="42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增大时，同相比例器的上限截止频率下降，增益系数下降</w:t>
      </w:r>
      <w:r w:rsidR="00FF2C35">
        <w:rPr>
          <w:rFonts w:hint="eastAsia"/>
        </w:rPr>
        <w:t>。因此，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FF2C35">
        <w:rPr>
          <w:rFonts w:hint="eastAsia"/>
        </w:rPr>
        <w:t>越小越好，但是无限制的减小，会导致输出端负载加重，反而会降低带宽性能。可以借鉴厂家的数据手册。</w:t>
      </w:r>
    </w:p>
    <w:p w14:paraId="38200552" w14:textId="520390B0" w:rsidR="00B22441" w:rsidRDefault="00B22441" w:rsidP="00B22441">
      <w:pPr>
        <w:spacing w:line="360" w:lineRule="auto"/>
        <w:ind w:left="42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D28BA6" wp14:editId="24EC3D05">
            <wp:extent cx="3169546" cy="254716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371" cy="25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A306" w14:textId="15EDA1FD" w:rsidR="00FF2C35" w:rsidRDefault="00B22441" w:rsidP="00814AF5">
      <w:pPr>
        <w:spacing w:line="360" w:lineRule="auto"/>
        <w:ind w:left="420" w:firstLine="420"/>
      </w:pPr>
      <w:r>
        <w:rPr>
          <w:rFonts w:hint="eastAsia"/>
        </w:rPr>
        <w:t>与</w:t>
      </w:r>
      <w:r>
        <w:rPr>
          <w:rFonts w:hint="eastAsia"/>
        </w:rPr>
        <w:t>V</w:t>
      </w:r>
      <w:r>
        <w:t>FA</w:t>
      </w:r>
      <w:r>
        <w:rPr>
          <w:rFonts w:hint="eastAsia"/>
        </w:rPr>
        <w:t>相比，</w:t>
      </w:r>
      <w:r>
        <w:rPr>
          <w:rFonts w:hint="eastAsia"/>
        </w:rPr>
        <w:t>C</w:t>
      </w:r>
      <w:r>
        <w:t>FA</w:t>
      </w:r>
      <w:r>
        <w:rPr>
          <w:rFonts w:hint="eastAsia"/>
        </w:rPr>
        <w:t>在电压增益变大时，带宽减小并不明显，甚至有可能出现高增益的带宽</w:t>
      </w:r>
      <w:proofErr w:type="gramStart"/>
      <w:r>
        <w:rPr>
          <w:rFonts w:hint="eastAsia"/>
        </w:rPr>
        <w:t>大于低</w:t>
      </w:r>
      <w:proofErr w:type="gramEnd"/>
      <w:r>
        <w:rPr>
          <w:rFonts w:hint="eastAsia"/>
        </w:rPr>
        <w:t>增益带宽的情况。</w:t>
      </w:r>
    </w:p>
    <w:p w14:paraId="586C3117" w14:textId="45654B09" w:rsidR="00B22441" w:rsidRDefault="00B22441" w:rsidP="00B22441">
      <w:pPr>
        <w:spacing w:line="360" w:lineRule="auto"/>
        <w:ind w:left="420" w:firstLine="420"/>
        <w:jc w:val="center"/>
      </w:pPr>
      <w:r>
        <w:rPr>
          <w:noProof/>
        </w:rPr>
        <w:drawing>
          <wp:inline distT="0" distB="0" distL="0" distR="0" wp14:anchorId="2DF04B52" wp14:editId="45ED8DCA">
            <wp:extent cx="2352876" cy="15449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793" cy="15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9BF9" w14:textId="5CF15DC9" w:rsidR="00DB2467" w:rsidRDefault="00DB2467" w:rsidP="00814AF5">
      <w:pPr>
        <w:spacing w:line="360" w:lineRule="auto"/>
        <w:ind w:left="420" w:firstLine="420"/>
        <w:rPr>
          <w:rFonts w:hint="eastAsia"/>
          <w:color w:val="4472C4" w:themeColor="accent1"/>
        </w:rPr>
      </w:pPr>
      <w:r>
        <w:rPr>
          <w:color w:val="4472C4" w:themeColor="accent1"/>
        </w:rPr>
        <w:t>VFA</w:t>
      </w:r>
      <w:r>
        <w:rPr>
          <w:rFonts w:hint="eastAsia"/>
          <w:color w:val="4472C4" w:themeColor="accent1"/>
        </w:rPr>
        <w:t>的具体推导过程如下</w:t>
      </w:r>
    </w:p>
    <w:p w14:paraId="59FC6B24" w14:textId="6D145F1C" w:rsidR="00B22441" w:rsidRPr="00DB2467" w:rsidRDefault="00B22441" w:rsidP="00814AF5">
      <w:pPr>
        <w:spacing w:line="360" w:lineRule="auto"/>
        <w:ind w:left="420" w:firstLine="420"/>
        <w:rPr>
          <w:color w:val="4472C4" w:themeColor="accent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color w:val="4472C4" w:themeColor="accen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A×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r>
                <w:rPr>
                  <w:rFonts w:ascii="Cambria Math" w:hAnsi="Cambria Math"/>
                  <w:color w:val="4472C4" w:themeColor="accent1"/>
                </w:rPr>
                <m:t>A×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</m:acc>
              <m:r>
                <w:rPr>
                  <w:rFonts w:ascii="Cambria Math" w:hAnsi="Cambria Math"/>
                  <w:color w:val="4472C4" w:themeColor="accent1"/>
                </w:rPr>
                <m:t>×F</m:t>
              </m:r>
            </m:den>
          </m:f>
        </m:oMath>
      </m:oMathPara>
    </w:p>
    <w:p w14:paraId="0E18C810" w14:textId="19524738" w:rsidR="00B22441" w:rsidRPr="00DB2467" w:rsidRDefault="00B22441" w:rsidP="00814AF5">
      <w:pPr>
        <w:spacing w:line="360" w:lineRule="auto"/>
        <w:ind w:left="420" w:firstLine="420"/>
        <w:rPr>
          <w:color w:val="4472C4" w:themeColor="accent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r>
                <w:rPr>
                  <w:rFonts w:ascii="Cambria Math" w:hAnsi="Cambria Math"/>
                  <w:color w:val="4472C4" w:themeColor="accent1"/>
                </w:rPr>
                <m:t>jωRC</m:t>
              </m:r>
            </m:den>
          </m:f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1+j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14:paraId="0482F269" w14:textId="3C178349" w:rsidR="00B22441" w:rsidRPr="00DB2467" w:rsidRDefault="00B22441" w:rsidP="00814AF5">
      <w:pPr>
        <w:spacing w:line="360" w:lineRule="auto"/>
        <w:ind w:left="420" w:firstLine="420"/>
        <w:rPr>
          <w:rFonts w:hint="eastAsia"/>
          <w:color w:val="4472C4" w:themeColor="accent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color w:val="4472C4" w:themeColor="accen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A×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1+j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</m:num>
            <m:den>
              <m:r>
                <w:rPr>
                  <w:rFonts w:ascii="Cambria Math" w:hAnsi="Cambria Math"/>
                  <w:color w:val="4472C4" w:themeColor="accent1"/>
                </w:rPr>
                <m:t>1+A×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1+j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×F</m:t>
              </m:r>
            </m:den>
          </m:f>
          <w:bookmarkStart w:id="0" w:name="_GoBack"/>
          <w:bookmarkEnd w:id="0"/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AF+(</m:t>
              </m:r>
              <m:r>
                <w:rPr>
                  <w:rFonts w:ascii="Cambria Math" w:hAnsi="Cambria Math"/>
                  <w:color w:val="4472C4" w:themeColor="accent1"/>
                </w:rPr>
                <m:t>1+j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1+AF</m:t>
              </m:r>
            </m:den>
          </m:f>
          <m:r>
            <w:rPr>
              <w:rFonts w:ascii="Cambria Math" w:hAnsi="Cambria Math"/>
              <w:color w:val="4472C4" w:themeColor="accent1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1+j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(1+AF)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sectPr w:rsidR="00B22441" w:rsidRPr="00DB2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068AC"/>
    <w:multiLevelType w:val="hybridMultilevel"/>
    <w:tmpl w:val="8018AE7C"/>
    <w:lvl w:ilvl="0" w:tplc="DD5A49D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06"/>
    <w:rsid w:val="00000F37"/>
    <w:rsid w:val="000906CF"/>
    <w:rsid w:val="000C073F"/>
    <w:rsid w:val="002D1D8D"/>
    <w:rsid w:val="002D34CE"/>
    <w:rsid w:val="00464661"/>
    <w:rsid w:val="00644FC4"/>
    <w:rsid w:val="00647BA2"/>
    <w:rsid w:val="006B41EC"/>
    <w:rsid w:val="00814AF5"/>
    <w:rsid w:val="0082415C"/>
    <w:rsid w:val="00891C4B"/>
    <w:rsid w:val="00964291"/>
    <w:rsid w:val="00A3240C"/>
    <w:rsid w:val="00A438E7"/>
    <w:rsid w:val="00B22441"/>
    <w:rsid w:val="00B56A06"/>
    <w:rsid w:val="00BB519F"/>
    <w:rsid w:val="00C54B8F"/>
    <w:rsid w:val="00D10A2F"/>
    <w:rsid w:val="00D75191"/>
    <w:rsid w:val="00DB2467"/>
    <w:rsid w:val="00DE5768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D99E"/>
  <w15:chartTrackingRefBased/>
  <w15:docId w15:val="{51DBC489-2C86-4EC9-B23A-A223DD81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B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D1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4</cp:revision>
  <dcterms:created xsi:type="dcterms:W3CDTF">2022-01-21T01:43:00Z</dcterms:created>
  <dcterms:modified xsi:type="dcterms:W3CDTF">2022-01-21T08:49:00Z</dcterms:modified>
</cp:coreProperties>
</file>