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The Verification Rate Gap</w:t>
      </w:r>
    </w:p>
    <w:p>
      <w:pPr>
        <w:jc w:val="center"/>
      </w:pPr>
      <w:r>
        <w:rPr>
          <w:rFonts w:ascii="Times New Roman" w:hAnsi="Times New Roman"/>
          <w:b/>
          <w:sz w:val="32"/>
        </w:rPr>
        <w:t>A Conceptual Metric for AI Development Risk</w:t>
      </w:r>
    </w:p>
    <w:p>
      <w:pPr>
        <w:jc w:val="center"/>
      </w:pPr>
      <w:r>
        <w:rPr>
          <w:rFonts w:ascii="Times New Roman" w:hAnsi="Times New Roman"/>
          <w:sz w:val="22"/>
        </w:rPr>
        <w:t>Jun Gorai</w:t>
      </w:r>
    </w:p>
    <w:p>
      <w:pPr>
        <w:jc w:val="center"/>
      </w:pPr>
      <w:r>
        <w:rPr>
          <w:rFonts w:ascii="Times New Roman" w:hAnsi="Times New Roman"/>
          <w:sz w:val="22"/>
        </w:rPr>
        <w:t>C3 Social Design Center</w:t>
      </w:r>
    </w:p>
    <w:p>
      <w:pPr>
        <w:jc w:val="center"/>
      </w:pPr>
      <w:r>
        <w:rPr>
          <w:rFonts w:ascii="Times New Roman" w:hAnsi="Times New Roman"/>
          <w:sz w:val="22"/>
        </w:rPr>
        <w:t>Research Note / Architecture Note</w:t>
      </w:r>
    </w:p>
    <w:p>
      <w:pPr>
        <w:jc w:val="center"/>
      </w:pPr>
      <w:r>
        <w:t>Draft Version: v0.2</w:t>
      </w:r>
    </w:p>
    <w:p>
      <w:pPr>
        <w:jc w:val="center"/>
      </w:pPr>
      <w:r>
        <w:rPr>
          <w:rFonts w:ascii="Times New Roman" w:hAnsi="Times New Roman"/>
          <w:sz w:val="22"/>
        </w:rPr>
        <w:t>Date: June 2026</w:t>
      </w:r>
    </w:p>
    <w:p/>
    <w:p>
      <w:pPr>
        <w:spacing w:after="120" w:line="252" w:lineRule="auto"/>
      </w:pPr>
      <w:r>
        <w:rPr>
          <w:rFonts w:ascii="Times New Roman" w:hAnsi="Times New Roman"/>
          <w:sz w:val="21"/>
        </w:rPr>
        <w:t>Submission note: This Research Note makes a conceptual and architectural claim. It does not claim production deployment, certification, complete safety, or a solution to AI alignment. The proposed Verification Kit should be read as a governance and auditability architecture for increasing verification throughput in AI-assisted development workflows.</w:t>
      </w:r>
    </w:p>
    <w:p>
      <w:pPr>
        <w:pStyle w:val="Heading1"/>
      </w:pPr>
      <w:r>
        <w:t>Abstract</w:t>
      </w:r>
    </w:p>
    <w:p>
      <w:pPr>
        <w:spacing w:after="120" w:line="252" w:lineRule="auto"/>
      </w:pPr>
      <w:r>
        <w:rPr>
          <w:rFonts w:ascii="Times New Roman" w:hAnsi="Times New Roman"/>
          <w:sz w:val="21"/>
        </w:rPr>
        <w:t>As AI systems increasingly automate parts of their own development, the primary bottleneck of safety and oversight shifts from the capacity of the AI system to the capacity of the verifier. This paper proposes the Verification Rate Gap as a conceptual metric for AI development risk. The core claim is simple: risk emerges when the rate of AI-generated development outputs exceeds the rate at which those outputs can be reliably verified. We define AI development risk as a function of the discrepancy between Generation Rate (G_rate) and Verification Rate (V_rate): R_dev is proportional to max(0, G_rate - V_rate). When generation accelerates while verification remains bounded by human review, systems accumulate unverified debt: AI-generated code, experiments, evaluations, decisions, or system changes that have not yet been reproduced, audited, or challenged. To reduce this gap, this paper introduces the Verification Kit: a standardized evidence package containing execution manifests, verdict records, evidence digests, conformance results, undefined-case reports, and integrity proofs. The Kit shifts verification from informal human review toward mechanical replay and structured audit. Its purpose is not to guarantee absolute safety or alignment, but to increase verification throughput by making decision paths reproducible, inspectable, and challengeable by third parties or independent verification tools. The paper defines the claim boundary of this approach and discusses failure modes including circular specification authority, adversarial audit trails, and deterministic replay constraints.</w:t>
      </w:r>
    </w:p>
    <w:p>
      <w:pPr>
        <w:spacing w:after="120" w:line="252" w:lineRule="auto"/>
      </w:pPr>
      <w:r>
        <w:rPr>
          <w:rFonts w:ascii="Times New Roman" w:hAnsi="Times New Roman"/>
          <w:sz w:val="21"/>
        </w:rPr>
        <w:t>Keywords: Recursive Self-Improvement, AI Governance, Verification Rate Gap, Verification Kit, Auditability, Reproducibility, AI-Built-AI, Mechanical Replay, BYOV</w:t>
      </w:r>
    </w:p>
    <w:p>
      <w:pPr>
        <w:pStyle w:val="Heading1"/>
      </w:pPr>
      <w:r>
        <w:t>1. The Verification Rate Gap</w:t>
      </w:r>
    </w:p>
    <w:p>
      <w:pPr>
        <w:spacing w:after="120" w:line="252" w:lineRule="auto"/>
      </w:pPr>
      <w:r>
        <w:rPr>
          <w:rFonts w:ascii="Times New Roman" w:hAnsi="Times New Roman"/>
          <w:sz w:val="21"/>
        </w:rPr>
        <w:t>AI development risk is often framed as a function of model capability. The more capable the system becomes, the greater the risk. This framing is useful, but incomplete. In AI development workflows, risk does not arise only from what a model can do. It also arises from the difference between the rate at which AI systems can generate development outputs and the rate at which those outputs can be verified.</w:t>
      </w:r>
    </w:p>
    <w:p>
      <w:pPr>
        <w:spacing w:after="120" w:line="252" w:lineRule="auto"/>
      </w:pPr>
      <w:r>
        <w:rPr>
          <w:rFonts w:ascii="Times New Roman" w:hAnsi="Times New Roman"/>
          <w:sz w:val="21"/>
        </w:rPr>
        <w:t>Recent public discussion of recursive self-improvement has made this shift visible. Anthropic describes a trajectory in which AI systems increasingly participate in their own development cycle, with future systems potentially becoming capable of building and training successor models [1]. METR separately frames progress in terms of the length of tasks AI agents can complete, reporting a sustained exponential trend in task-completion horizons [2]. This paper does not rely on any single forecast. It uses these developments as motivation for a narrower engineering question: can verification throughput scale with generation throughput?</w:t>
      </w:r>
    </w:p>
    <w:p>
      <w:pPr>
        <w:spacing w:after="120" w:line="252" w:lineRule="auto"/>
      </w:pPr>
      <w:r>
        <w:rPr>
          <w:rFonts w:ascii="Times New Roman" w:hAnsi="Times New Roman"/>
          <w:sz w:val="21"/>
        </w:rPr>
        <w:t>This paper defines the difference between generation and verification throughput as the Verification Rate Gap.</w:t>
      </w:r>
    </w:p>
    <w:p>
      <w:pPr>
        <w:spacing w:after="120" w:line="252" w:lineRule="auto"/>
      </w:pPr>
      <w:r>
        <w:rPr>
          <w:rFonts w:ascii="Times New Roman" w:hAnsi="Times New Roman"/>
          <w:sz w:val="21"/>
        </w:rPr>
        <w:t>Let:</w:t>
      </w:r>
    </w:p>
    <w:p>
      <w:pPr>
        <w:pStyle w:val="CodeBlock"/>
        <w:spacing w:before="60" w:after="120"/>
        <w:ind w:left="360" w:right="144"/>
      </w:pPr>
      <w:r>
        <w:rPr>
          <w:rFonts w:ascii="Courier New" w:hAnsi="Courier New"/>
          <w:sz w:val="17"/>
        </w:rPr>
        <w:t>G_rate = the rate at which AI systems generate development outputs</w:t>
        <w:br/>
        <w:t>V_rate = the rate at which those outputs can be reliably verified</w:t>
      </w:r>
    </w:p>
    <w:p>
      <w:pPr>
        <w:spacing w:after="120" w:line="252" w:lineRule="auto"/>
      </w:pPr>
      <w:r>
        <w:rPr>
          <w:rFonts w:ascii="Times New Roman" w:hAnsi="Times New Roman"/>
          <w:sz w:val="21"/>
        </w:rPr>
        <w:t>Then AI development risk can be expressed as a conceptual risk frame:</w:t>
      </w:r>
    </w:p>
    <w:p>
      <w:pPr>
        <w:pStyle w:val="CodeBlock"/>
        <w:spacing w:before="60" w:after="120"/>
        <w:ind w:left="360" w:right="144"/>
      </w:pPr>
      <w:r>
        <w:rPr>
          <w:rFonts w:ascii="Courier New" w:hAnsi="Courier New"/>
          <w:sz w:val="17"/>
        </w:rPr>
        <w:t>R_dev ∝ max(0, G_rate - V_rate)</w:t>
      </w:r>
    </w:p>
    <w:p>
      <w:pPr>
        <w:spacing w:after="120" w:line="252" w:lineRule="auto"/>
      </w:pPr>
      <w:r>
        <w:rPr>
          <w:rFonts w:ascii="Times New Roman" w:hAnsi="Times New Roman"/>
          <w:sz w:val="21"/>
        </w:rPr>
        <w:t>When G_rate remains below or near V_rate, the development process can remain within traditional oversight capacity. Human review, tests, audits, and governance processes may still absorb the output volume. However, when G_rate exceeds V_rate, unverified outputs begin to accumulate. This accumulation is not merely a backlog. It becomes a form of unverified debt.</w:t>
      </w:r>
    </w:p>
    <w:p>
      <w:pPr>
        <w:spacing w:after="120" w:line="252" w:lineRule="auto"/>
      </w:pPr>
      <w:r>
        <w:rPr>
          <w:rFonts w:ascii="Times New Roman" w:hAnsi="Times New Roman"/>
          <w:sz w:val="21"/>
        </w:rPr>
        <w:t>Unverified debt is the stock of AI-generated code, experiments, decisions, evaluations, or system changes that has been produced faster than it can be reproduced, audited, or challenged. Like technical debt, it may remain invisible for a period of time. Unlike ordinary technical debt, however, unverified debt can compound across automated development loops.</w:t>
      </w:r>
    </w:p>
    <w:p>
      <w:pPr>
        <w:jc w:val="center"/>
      </w:pPr>
      <w:r>
        <w:drawing>
          <wp:inline xmlns:a="http://schemas.openxmlformats.org/drawingml/2006/main" xmlns:pic="http://schemas.openxmlformats.org/drawingml/2006/picture">
            <wp:extent cx="5394960" cy="3062098"/>
            <wp:docPr id="1" name="Picture 1"/>
            <wp:cNvGraphicFramePr>
              <a:graphicFrameLocks noChangeAspect="1"/>
            </wp:cNvGraphicFramePr>
            <a:graphic>
              <a:graphicData uri="http://schemas.openxmlformats.org/drawingml/2006/picture">
                <pic:pic>
                  <pic:nvPicPr>
                    <pic:cNvPr id="0" name="verification_rate_gap_figure1.png"/>
                    <pic:cNvPicPr/>
                  </pic:nvPicPr>
                  <pic:blipFill>
                    <a:blip r:embed="rId10"/>
                    <a:stretch>
                      <a:fillRect/>
                    </a:stretch>
                  </pic:blipFill>
                  <pic:spPr>
                    <a:xfrm>
                      <a:off x="0" y="0"/>
                      <a:ext cx="5394960" cy="3062098"/>
                    </a:xfrm>
                    <a:prstGeom prst="rect"/>
                  </pic:spPr>
                </pic:pic>
              </a:graphicData>
            </a:graphic>
          </wp:inline>
        </w:drawing>
      </w:r>
    </w:p>
    <w:p>
      <w:pPr>
        <w:pStyle w:val="Caption"/>
        <w:jc w:val="center"/>
      </w:pPr>
      <w:r>
        <w:t>Figure 1. The Verification Rate Gap and Accumulation of Unverified Debt. Conceptual illustration, not an empirical measurement.</w:t>
      </w:r>
    </w:p>
    <w:p>
      <w:pPr>
        <w:spacing w:after="120" w:line="252" w:lineRule="auto"/>
      </w:pPr>
      <w:r>
        <w:rPr>
          <w:rFonts w:ascii="Times New Roman" w:hAnsi="Times New Roman"/>
          <w:sz w:val="21"/>
        </w:rPr>
        <w:t>A model may generate code, generate tests for that code, interpret the results, propose further changes, and trigger additional experiments before a human reviewer has reconstructed the original decision path. The problem is not only that the model may be wrong. The problem is that the surrounding institution may no longer know, at sufficient speed, which outputs are correct, which are wrong, which are unsupported, and which require escalation.</w:t>
      </w:r>
    </w:p>
    <w:p>
      <w:pPr>
        <w:spacing w:after="120" w:line="252" w:lineRule="auto"/>
      </w:pPr>
      <w:r>
        <w:rPr>
          <w:rFonts w:ascii="Times New Roman" w:hAnsi="Times New Roman"/>
          <w:sz w:val="21"/>
        </w:rPr>
        <w:t>In traditional software development, human review is often treated as the limiting safety mechanism. This assumption weakens as AI systems move from producing isolated suggestions to producing files, pull requests, experiments, benchmarks, and agentic workflows. Benchmarks such as SWE-bench and CORE-Bench illustrate the growing focus on real-world software issue resolution and computational reproducibility as AI agent capabilities become more consequential [3][4]. The bottleneck shifts from production to verification.</w:t>
      </w:r>
    </w:p>
    <w:p>
      <w:pPr>
        <w:spacing w:after="120" w:line="252" w:lineRule="auto"/>
      </w:pPr>
      <w:r>
        <w:rPr>
          <w:rFonts w:ascii="Times New Roman" w:hAnsi="Times New Roman"/>
          <w:sz w:val="21"/>
        </w:rPr>
        <w:t>The question is no longer only:</w:t>
      </w:r>
    </w:p>
    <w:p>
      <w:pPr>
        <w:pStyle w:val="CodeBlock"/>
        <w:spacing w:before="60" w:after="120"/>
        <w:ind w:left="360" w:right="144"/>
      </w:pPr>
      <w:r>
        <w:rPr>
          <w:rFonts w:ascii="Courier New" w:hAnsi="Courier New"/>
          <w:sz w:val="17"/>
        </w:rPr>
        <w:t>Can AI generate useful development outputs?</w:t>
      </w:r>
    </w:p>
    <w:p>
      <w:pPr>
        <w:spacing w:after="120" w:line="252" w:lineRule="auto"/>
      </w:pPr>
      <w:r>
        <w:rPr>
          <w:rFonts w:ascii="Times New Roman" w:hAnsi="Times New Roman"/>
          <w:sz w:val="21"/>
        </w:rPr>
        <w:t>The question becomes:</w:t>
      </w:r>
    </w:p>
    <w:p>
      <w:pPr>
        <w:pStyle w:val="CodeBlock"/>
        <w:spacing w:before="60" w:after="120"/>
        <w:ind w:left="360" w:right="144"/>
      </w:pPr>
      <w:r>
        <w:rPr>
          <w:rFonts w:ascii="Courier New" w:hAnsi="Courier New"/>
          <w:sz w:val="17"/>
        </w:rPr>
        <w:t>Can the surrounding institution verify those outputs at a comparable rate?</w:t>
      </w:r>
    </w:p>
    <w:p>
      <w:pPr>
        <w:spacing w:after="120" w:line="252" w:lineRule="auto"/>
      </w:pPr>
      <w:r>
        <w:rPr>
          <w:rFonts w:ascii="Times New Roman" w:hAnsi="Times New Roman"/>
          <w:sz w:val="21"/>
        </w:rPr>
        <w:t>This shift is especially important in workflows that approach recursive self-improvement. If AI systems increasingly contribute to the design, implementation, testing, and evaluation of successor systems, then development risk is not simply a property of the model. It is a property of the development loop. A loop that generates faster than it verifies will accumulate unverified debt, even if many individual outputs appear useful or correct.</w:t>
      </w:r>
    </w:p>
    <w:p>
      <w:pPr>
        <w:spacing w:after="120" w:line="252" w:lineRule="auto"/>
      </w:pPr>
      <w:r>
        <w:rPr>
          <w:rFonts w:ascii="Times New Roman" w:hAnsi="Times New Roman"/>
          <w:sz w:val="21"/>
        </w:rPr>
        <w:t>The Verification Rate Gap therefore reframes AI development risk as a throughput problem. The central safety question becomes:</w:t>
      </w:r>
    </w:p>
    <w:p>
      <w:pPr>
        <w:pStyle w:val="CodeBlock"/>
        <w:spacing w:before="60" w:after="120"/>
        <w:ind w:left="360" w:right="144"/>
      </w:pPr>
      <w:r>
        <w:rPr>
          <w:rFonts w:ascii="Courier New" w:hAnsi="Courier New"/>
          <w:sz w:val="17"/>
        </w:rPr>
        <w:t>Can the verification layer scale with the generation layer?</w:t>
      </w:r>
    </w:p>
    <w:p>
      <w:pPr>
        <w:spacing w:after="120" w:line="252" w:lineRule="auto"/>
      </w:pPr>
      <w:r>
        <w:rPr>
          <w:rFonts w:ascii="Times New Roman" w:hAnsi="Times New Roman"/>
          <w:sz w:val="21"/>
        </w:rPr>
        <w:t>If the answer is no, then higher generation capacity may increase systemic risk even when each individual output is locally plausible. If the answer is yes, then faster AI-assisted development can be made more governable. The purpose of the next section is to propose one architecture for increasing V_rate: the Verification Kit.</w:t>
      </w:r>
    </w:p>
    <w:p>
      <w:pPr>
        <w:pStyle w:val="Heading1"/>
      </w:pPr>
      <w:r>
        <w:t>2. Verification Kit Architecture</w:t>
      </w:r>
    </w:p>
    <w:p>
      <w:pPr>
        <w:spacing w:after="120" w:line="252" w:lineRule="auto"/>
      </w:pPr>
      <w:r>
        <w:rPr>
          <w:rFonts w:ascii="Times New Roman" w:hAnsi="Times New Roman"/>
          <w:sz w:val="21"/>
        </w:rPr>
        <w:t>If AI development risk emerges from a gap between generation rate and verification rate, then the central design problem is how to increase V_rate without relying on human reviewers to inspect every output manually. The Verification Kit is proposed as a minimal architecture for doing so.</w:t>
      </w:r>
    </w:p>
    <w:p>
      <w:pPr>
        <w:spacing w:after="120" w:line="252" w:lineRule="auto"/>
      </w:pPr>
      <w:r>
        <w:rPr>
          <w:rFonts w:ascii="Times New Roman" w:hAnsi="Times New Roman"/>
          <w:sz w:val="21"/>
        </w:rPr>
        <w:t>A Verification Kit is a replayable evidence package. It is not a narrative report, a trust badge, or a claim of safety. Its purpose is to export the decision path, execution context, evidence references, and integrity proofs needed for another party to reproduce or challenge an AI-led development decision.</w:t>
      </w:r>
    </w:p>
    <w:p>
      <w:pPr>
        <w:spacing w:after="120" w:line="252" w:lineRule="auto"/>
      </w:pPr>
      <w:r>
        <w:rPr>
          <w:rFonts w:ascii="Times New Roman" w:hAnsi="Times New Roman"/>
          <w:sz w:val="21"/>
        </w:rPr>
        <w:t>In this architecture, verification shifts from a primarily human-readable process to a mechanically reproducible process. Human reviewers may still make final judgments, but they should not be required to reconstruct the entire decision path from informal explanations, screenshots, or natural-language summaries. Instead, they should receive a structured kit that can be checked by deterministic tooling, internal audit systems, or secondary AI-assisted review.</w:t>
      </w:r>
    </w:p>
    <w:p>
      <w:pPr>
        <w:pStyle w:val="Heading2"/>
      </w:pPr>
      <w:r>
        <w:t>Table 1. Minimal Components of a Verification Kit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1512"/>
            <w:shd w:fill="D9EAF7"/>
            <w:vAlign w:val="top"/>
            <w:tcMar>
              <w:top w:w="60" w:type="dxa"/>
              <w:left w:w="60" w:type="dxa"/>
              <w:bottom w:w="60" w:type="dxa"/>
              <w:right w:w="60" w:type="dxa"/>
            </w:tcMar>
          </w:tcPr>
          <w:p>
            <w:pPr>
              <w:spacing w:after="0" w:before="0"/>
            </w:pPr>
            <w:r/>
            <w:r>
              <w:rPr>
                <w:rFonts w:ascii="Times New Roman" w:hAnsi="Times New Roman"/>
                <w:b/>
                <w:sz w:val="16"/>
              </w:rPr>
              <w:t>Component</w:t>
            </w:r>
          </w:p>
        </w:tc>
        <w:tc>
          <w:tcPr>
            <w:tcW w:type="dxa" w:w="1800"/>
            <w:shd w:fill="D9EAF7"/>
            <w:vAlign w:val="top"/>
            <w:tcMar>
              <w:top w:w="60" w:type="dxa"/>
              <w:left w:w="60" w:type="dxa"/>
              <w:bottom w:w="60" w:type="dxa"/>
              <w:right w:w="60" w:type="dxa"/>
            </w:tcMar>
          </w:tcPr>
          <w:p>
            <w:pPr>
              <w:spacing w:after="0" w:before="0"/>
            </w:pPr>
            <w:r/>
            <w:r>
              <w:rPr>
                <w:rFonts w:ascii="Times New Roman" w:hAnsi="Times New Roman"/>
                <w:b/>
                <w:sz w:val="16"/>
              </w:rPr>
              <w:t>File Example</w:t>
            </w:r>
          </w:p>
        </w:tc>
        <w:tc>
          <w:tcPr>
            <w:tcW w:type="dxa" w:w="3312"/>
            <w:shd w:fill="D9EAF7"/>
            <w:vAlign w:val="top"/>
            <w:tcMar>
              <w:top w:w="60" w:type="dxa"/>
              <w:left w:w="60" w:type="dxa"/>
              <w:bottom w:w="60" w:type="dxa"/>
              <w:right w:w="60" w:type="dxa"/>
            </w:tcMar>
          </w:tcPr>
          <w:p>
            <w:pPr>
              <w:spacing w:after="0" w:before="0"/>
            </w:pPr>
            <w:r/>
            <w:r>
              <w:rPr>
                <w:rFonts w:ascii="Times New Roman" w:hAnsi="Times New Roman"/>
                <w:b/>
                <w:sz w:val="16"/>
              </w:rPr>
              <w:t>Purpose</w:t>
            </w:r>
          </w:p>
        </w:tc>
        <w:tc>
          <w:tcPr>
            <w:tcW w:type="dxa" w:w="3024"/>
            <w:shd w:fill="D9EAF7"/>
            <w:vAlign w:val="top"/>
            <w:tcMar>
              <w:top w:w="60" w:type="dxa"/>
              <w:left w:w="60" w:type="dxa"/>
              <w:bottom w:w="60" w:type="dxa"/>
              <w:right w:w="60" w:type="dxa"/>
            </w:tcMar>
          </w:tcPr>
          <w:p>
            <w:pPr>
              <w:spacing w:after="0" w:before="0"/>
            </w:pPr>
            <w:r/>
            <w:r>
              <w:rPr>
                <w:rFonts w:ascii="Times New Roman" w:hAnsi="Times New Roman"/>
                <w:b/>
                <w:sz w:val="16"/>
              </w:rPr>
              <w:t>Verification Role</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Run Manifest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run_manifest.json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Fixes the execution context, including input hashes, engine version, specification version, policy version, and timestamp.</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Defines what was evaluated and under which conditions.</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Verdict Records</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verdicts.jsonl</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Stores per-case decisions such as PASS, HOLD, ESCALATE, FAIL, or UNDEFINED, with reason codes and evidence references.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Enables case-level replay and audit.</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Summary</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summary.json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Aggregates verdict distribution, non-PASS counts, undefined cases, and major reason codes.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Provides a fast overview without replacing raw records.</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Conformance Result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conformance.json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Reports whether the run satisfies predefined conformance requirements.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Separates observed results from conformance claims.</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Evidence Digest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evidence_digest.json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Provides hashes, references, or summaries of evidence when raw evidence cannot be disclosed.</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Preserves verifiability without forcing full public disclosure.</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Undefined Report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undefined_report.json</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Lists cases where the system could not determine a valid verdict due to missing evidence, unclear rules, or unsupported inputs.</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Makes uncertainty explicit.</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Auditor Prompt</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auditor_prompt.md</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Provides a standardized prompt for human-assisted or BYO-AI audit.</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Supports secondary review while keeping deterministic replay as the source of truth.</w:t>
            </w:r>
          </w:p>
        </w:tc>
      </w:tr>
      <w:tr>
        <w:tc>
          <w:tcPr>
            <w:tcW w:type="dxa" w:w="1512"/>
            <w:vAlign w:val="top"/>
            <w:tcMar>
              <w:top w:w="60" w:type="dxa"/>
              <w:left w:w="60" w:type="dxa"/>
              <w:bottom w:w="60" w:type="dxa"/>
              <w:right w:w="60" w:type="dxa"/>
            </w:tcMar>
          </w:tcPr>
          <w:p>
            <w:pPr>
              <w:spacing w:after="0" w:before="0"/>
            </w:pPr>
            <w:r/>
            <w:r>
              <w:rPr>
                <w:rFonts w:ascii="Times New Roman" w:hAnsi="Times New Roman"/>
                <w:b w:val="0"/>
                <w:sz w:val="16"/>
              </w:rPr>
              <w:t>Signature</w:t>
            </w:r>
          </w:p>
        </w:tc>
        <w:tc>
          <w:tcPr>
            <w:tcW w:type="dxa" w:w="1800"/>
            <w:vAlign w:val="top"/>
            <w:tcMar>
              <w:top w:w="60" w:type="dxa"/>
              <w:left w:w="60" w:type="dxa"/>
              <w:bottom w:w="60" w:type="dxa"/>
              <w:right w:w="60" w:type="dxa"/>
            </w:tcMar>
          </w:tcPr>
          <w:p>
            <w:pPr>
              <w:spacing w:after="0" w:before="0"/>
            </w:pPr>
            <w:r/>
            <w:r>
              <w:rPr>
                <w:rFonts w:ascii="Times New Roman" w:hAnsi="Times New Roman"/>
                <w:b w:val="0"/>
                <w:sz w:val="16"/>
              </w:rPr>
              <w:t>signature.sig</w:t>
            </w:r>
          </w:p>
        </w:tc>
        <w:tc>
          <w:tcPr>
            <w:tcW w:type="dxa" w:w="3312"/>
            <w:vAlign w:val="top"/>
            <w:tcMar>
              <w:top w:w="60" w:type="dxa"/>
              <w:left w:w="60" w:type="dxa"/>
              <w:bottom w:w="60" w:type="dxa"/>
              <w:right w:w="60" w:type="dxa"/>
            </w:tcMar>
          </w:tcPr>
          <w:p>
            <w:pPr>
              <w:spacing w:after="0" w:before="0"/>
            </w:pPr>
            <w:r/>
            <w:r>
              <w:rPr>
                <w:rFonts w:ascii="Times New Roman" w:hAnsi="Times New Roman"/>
                <w:b w:val="0"/>
                <w:sz w:val="16"/>
              </w:rPr>
              <w:t>Signs the manifest or kit index.</w:t>
            </w:r>
          </w:p>
        </w:tc>
        <w:tc>
          <w:tcPr>
            <w:tcW w:type="dxa" w:w="3024"/>
            <w:vAlign w:val="top"/>
            <w:tcMar>
              <w:top w:w="60" w:type="dxa"/>
              <w:left w:w="60" w:type="dxa"/>
              <w:bottom w:w="60" w:type="dxa"/>
              <w:right w:w="60" w:type="dxa"/>
            </w:tcMar>
          </w:tcPr>
          <w:p>
            <w:pPr>
              <w:spacing w:after="0" w:before="0"/>
            </w:pPr>
            <w:r/>
            <w:r>
              <w:rPr>
                <w:rFonts w:ascii="Times New Roman" w:hAnsi="Times New Roman"/>
                <w:b w:val="0"/>
                <w:sz w:val="16"/>
              </w:rPr>
              <w:t>Detects tampering and supports chain-of-custody.</w:t>
            </w:r>
          </w:p>
        </w:tc>
      </w:tr>
    </w:tbl>
    <w:p>
      <w:pPr>
        <w:spacing w:after="40"/>
      </w:pPr>
    </w:p>
    <w:p>
      <w:pPr>
        <w:spacing w:after="120" w:line="252" w:lineRule="auto"/>
      </w:pPr>
      <w:r>
        <w:rPr>
          <w:rFonts w:ascii="Times New Roman" w:hAnsi="Times New Roman"/>
          <w:sz w:val="21"/>
        </w:rPr>
        <w:t>The key design principle is separation between human-readable summaries and machine-verifiable records. The summary may help reviewers understand the run, but it must not replace the manifest, verdict records, evidence digest, or signatures. The summary is an interface. The records are the verification surface.</w:t>
      </w:r>
    </w:p>
    <w:p>
      <w:pPr>
        <w:spacing w:after="120" w:line="252" w:lineRule="auto"/>
      </w:pPr>
      <w:r>
        <w:rPr>
          <w:rFonts w:ascii="Times New Roman" w:hAnsi="Times New Roman"/>
          <w:sz w:val="21"/>
        </w:rPr>
        <w:t>This distinction matters because summaries can be incomplete, persuasive, or misleading even when written in good faith. A Verification Kit therefore treats summaries as secondary artifacts. The primary artifacts are those that allow an external verifier to answer a narrower question:</w:t>
      </w:r>
    </w:p>
    <w:p>
      <w:pPr>
        <w:pStyle w:val="CodeBlock"/>
        <w:spacing w:before="60" w:after="120"/>
        <w:ind w:left="360" w:right="144"/>
      </w:pPr>
      <w:r>
        <w:rPr>
          <w:rFonts w:ascii="Courier New" w:hAnsi="Courier New"/>
          <w:sz w:val="17"/>
        </w:rPr>
        <w:t>Given the declared inputs, specification, policy, engine version, and evidence route,</w:t>
        <w:br/>
        <w:t>can the recorded verdicts be reproduced or challenged?</w:t>
      </w:r>
    </w:p>
    <w:p>
      <w:pPr>
        <w:spacing w:after="120" w:line="252" w:lineRule="auto"/>
      </w:pPr>
      <w:r>
        <w:rPr>
          <w:rFonts w:ascii="Times New Roman" w:hAnsi="Times New Roman"/>
          <w:sz w:val="21"/>
        </w:rPr>
        <w:t>This does not require the verifier to agree with the original developer’s judgment. It requires the verifier to inspect the route by which the judgment was produced. In this sense, the Verification Kit changes the trust model. Trust is not derived from the provider’s assertion that a system is safe. Trust is derived from the ability of another party to reproduce, reject, or dispute the decision path.</w:t>
      </w:r>
    </w:p>
    <w:p>
      <w:pPr>
        <w:spacing w:after="120" w:line="252" w:lineRule="auto"/>
      </w:pPr>
      <w:r>
        <w:rPr>
          <w:rFonts w:ascii="Times New Roman" w:hAnsi="Times New Roman"/>
          <w:sz w:val="21"/>
        </w:rPr>
        <w:t>The Kit also supports a Bring Your Own Verifier model. A receiving institution may use its own command-line verifier, internal audit pipeline, or AI-assisted auditor to inspect the package. However, AI-assisted audit should not be treated as the source of truth. The source of truth remains the deterministic verification route: the manifest, the recorded verdicts, the evidence references, and the integrity proof.</w:t>
      </w:r>
    </w:p>
    <w:p>
      <w:pPr>
        <w:spacing w:after="120" w:line="252" w:lineRule="auto"/>
      </w:pPr>
      <w:r>
        <w:rPr>
          <w:rFonts w:ascii="Times New Roman" w:hAnsi="Times New Roman"/>
          <w:sz w:val="21"/>
        </w:rPr>
        <w:t>This architecture increases V_rate in three ways.</w:t>
      </w:r>
    </w:p>
    <w:p>
      <w:pPr>
        <w:spacing w:after="120" w:line="252" w:lineRule="auto"/>
      </w:pPr>
      <w:r>
        <w:rPr>
          <w:rFonts w:ascii="Times New Roman" w:hAnsi="Times New Roman"/>
          <w:sz w:val="21"/>
        </w:rPr>
        <w:t>First, it reduces reconstruction cost. Reviewers no longer need to infer what was evaluated from informal notes or scattered logs. The run context is fixed in the manifest.</w:t>
      </w:r>
    </w:p>
    <w:p>
      <w:pPr>
        <w:spacing w:after="120" w:line="252" w:lineRule="auto"/>
      </w:pPr>
      <w:r>
        <w:rPr>
          <w:rFonts w:ascii="Times New Roman" w:hAnsi="Times New Roman"/>
          <w:sz w:val="21"/>
        </w:rPr>
        <w:t>Second, it enables selective escalation. Human attention can be focused on discrepancies, non-PASS verdicts, undefined cases, missing evidence, or failed conformance checks, rather than on every generated output.</w:t>
      </w:r>
    </w:p>
    <w:p>
      <w:pPr>
        <w:spacing w:after="120" w:line="252" w:lineRule="auto"/>
      </w:pPr>
      <w:r>
        <w:rPr>
          <w:rFonts w:ascii="Times New Roman" w:hAnsi="Times New Roman"/>
          <w:sz w:val="21"/>
        </w:rPr>
        <w:t>Third, it makes verification portable. The same kit can be inspected by the original developer, an internal reviewer, a third party, or a regulator without requiring privileged access to the original development environment.</w:t>
      </w:r>
    </w:p>
    <w:p>
      <w:pPr>
        <w:spacing w:after="120" w:line="252" w:lineRule="auto"/>
      </w:pPr>
      <w:r>
        <w:rPr>
          <w:rFonts w:ascii="Times New Roman" w:hAnsi="Times New Roman"/>
          <w:sz w:val="21"/>
        </w:rPr>
        <w:t>The Verification Kit therefore functions as an export layer for verifiable trust. It does not stop unsafe outputs by itself. It does not prove that a model is aligned. It does not certify production safety. Its role is narrower: to make AI-led development decisions replayable, inspectable, and challengeable at a speed closer to the rate at which AI systems generate them.</w:t>
      </w:r>
    </w:p>
    <w:p>
      <w:pPr>
        <w:pStyle w:val="Heading1"/>
      </w:pPr>
      <w:r>
        <w:t>3. Claim Boundary, Failure Modes, and Discussion</w:t>
      </w:r>
    </w:p>
    <w:p>
      <w:pPr>
        <w:spacing w:after="120" w:line="252" w:lineRule="auto"/>
      </w:pPr>
      <w:r>
        <w:rPr>
          <w:rFonts w:ascii="Times New Roman" w:hAnsi="Times New Roman"/>
          <w:sz w:val="21"/>
        </w:rPr>
        <w:t>The Verification Rate Gap is not proposed as a complete theory of AI safety. Nor is the Verification Kit proposed as a guarantee that AI systems are aligned, truthful, or safe in all environments. The contribution of this paper is narrower: it reframes a class of AI development risk as a throughput mismatch between generation and verification, and proposes a minimal architecture for increasing verification throughput.</w:t>
      </w:r>
    </w:p>
    <w:p>
      <w:pPr>
        <w:spacing w:after="120" w:line="252" w:lineRule="auto"/>
      </w:pPr>
      <w:r>
        <w:rPr>
          <w:rFonts w:ascii="Times New Roman" w:hAnsi="Times New Roman"/>
          <w:sz w:val="21"/>
        </w:rPr>
        <w:t>This distinction is important. If a system generates outputs faster than they can be inspected, reproduced, or challenged, the institution operating that system accumulates unverified debt. The Verification Kit does not eliminate that debt by asserting that outputs are safe. It reduces the cost of verifying, disputing, and escalating those outputs.</w:t>
      </w:r>
    </w:p>
    <w:p>
      <w:pPr>
        <w:spacing w:after="120" w:line="252" w:lineRule="auto"/>
      </w:pPr>
      <w:r>
        <w:rPr>
          <w:rFonts w:ascii="Times New Roman" w:hAnsi="Times New Roman"/>
          <w:sz w:val="21"/>
        </w:rPr>
        <w:t>The claim boundary of this approach is therefore centered on auditability and reproducibility.</w:t>
      </w:r>
    </w:p>
    <w:p>
      <w:pPr>
        <w:pStyle w:val="Heading2"/>
      </w:pPr>
      <w:r>
        <w:t>Table 2. Claim Boundary of the Verification Kit Approach</w:t>
      </w:r>
    </w:p>
    <w:tbl>
      <w:tblPr>
        <w:tblStyle w:val="TableGrid"/>
        <w:tblW w:type="auto" w:w="0"/>
        <w:jc w:val="center"/>
        <w:tblLayout w:type="autofit"/>
        <w:tblLook w:firstColumn="1" w:firstRow="1" w:lastColumn="0" w:lastRow="0" w:noHBand="0" w:noVBand="1" w:val="04A0"/>
      </w:tblPr>
      <w:tblGrid>
        <w:gridCol w:w="5083"/>
        <w:gridCol w:w="5083"/>
      </w:tblGrid>
      <w:tr>
        <w:tc>
          <w:tcPr>
            <w:tcW w:type="dxa" w:w="4824"/>
            <w:shd w:fill="D9EAF7"/>
            <w:vAlign w:val="top"/>
            <w:tcMar>
              <w:top w:w="60" w:type="dxa"/>
              <w:left w:w="60" w:type="dxa"/>
              <w:bottom w:w="60" w:type="dxa"/>
              <w:right w:w="60" w:type="dxa"/>
            </w:tcMar>
          </w:tcPr>
          <w:p>
            <w:pPr>
              <w:spacing w:after="0" w:before="0"/>
            </w:pPr>
            <w:r/>
            <w:r>
              <w:rPr>
                <w:rFonts w:ascii="Times New Roman" w:hAnsi="Times New Roman"/>
                <w:b/>
                <w:sz w:val="16"/>
              </w:rPr>
              <w:t>The approach claims</w:t>
            </w:r>
          </w:p>
        </w:tc>
        <w:tc>
          <w:tcPr>
            <w:tcW w:type="dxa" w:w="4824"/>
            <w:shd w:fill="D9EAF7"/>
            <w:vAlign w:val="top"/>
            <w:tcMar>
              <w:top w:w="60" w:type="dxa"/>
              <w:left w:w="60" w:type="dxa"/>
              <w:bottom w:w="60" w:type="dxa"/>
              <w:right w:w="60" w:type="dxa"/>
            </w:tcMar>
          </w:tcPr>
          <w:p>
            <w:pPr>
              <w:spacing w:after="0" w:before="0"/>
            </w:pPr>
            <w:r/>
            <w:r>
              <w:rPr>
                <w:rFonts w:ascii="Times New Roman" w:hAnsi="Times New Roman"/>
                <w:b/>
                <w:sz w:val="16"/>
              </w:rPr>
              <w:t>The approach does not claim</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AI development risk can be framed as a gap between generation rate and verification rate.</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AI development risk is only a function of this gap.</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Decision paths can be exported in a structured, replayable format.</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The exported decision is necessarily correct.</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Execution context can be fixed through a run manifest.</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The manifest proves absolute safety.</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Verdict records can support mechanical replay or challenge.</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All unsafe outputs will be detected.</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Evidence can be referenced through raw data, hashes, or digests.</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Evidence digests prove universal truth.</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Uncertainty can be represented explicitly through HOLD or UNDEFINED.</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Uncertainty is eliminated.</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BYO-AI or human-assisted audit can reduce review burden.</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LLM audit is the source of truth.</w:t>
            </w:r>
          </w:p>
        </w:tc>
      </w:tr>
      <w:tr>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 deterministic verifier can improve verification throughput.</w:t>
            </w:r>
          </w:p>
        </w:tc>
        <w:tc>
          <w:tcPr>
            <w:tcW w:type="dxa" w:w="4824"/>
            <w:vAlign w:val="top"/>
            <w:tcMar>
              <w:top w:w="60" w:type="dxa"/>
              <w:left w:w="60" w:type="dxa"/>
              <w:bottom w:w="60" w:type="dxa"/>
              <w:right w:w="60" w:type="dxa"/>
            </w:tcMar>
          </w:tcPr>
          <w:p>
            <w:pPr>
              <w:spacing w:after="0" w:before="0"/>
            </w:pPr>
            <w:r/>
            <w:r>
              <w:rPr>
                <w:rFonts w:ascii="Times New Roman" w:hAnsi="Times New Roman"/>
                <w:b w:val="0"/>
                <w:sz w:val="16"/>
              </w:rPr>
              <w:t>A Verification Kit is equivalent to certification.</w:t>
            </w:r>
          </w:p>
        </w:tc>
      </w:tr>
    </w:tbl>
    <w:p>
      <w:pPr>
        <w:spacing w:after="40"/>
      </w:pPr>
    </w:p>
    <w:p>
      <w:pPr>
        <w:spacing w:after="120" w:line="252" w:lineRule="auto"/>
      </w:pPr>
      <w:r>
        <w:rPr>
          <w:rFonts w:ascii="Times New Roman" w:hAnsi="Times New Roman"/>
          <w:sz w:val="21"/>
        </w:rPr>
        <w:t>The central governance objective is not to stop all AI-assisted development. It is to maintain a relationship in which verification capacity can scale with generation capacity. In simplified terms, the target condition is:</w:t>
      </w:r>
    </w:p>
    <w:p>
      <w:pPr>
        <w:pStyle w:val="CodeBlock"/>
        <w:spacing w:before="60" w:after="120"/>
        <w:ind w:left="360" w:right="144"/>
      </w:pPr>
      <w:r>
        <w:rPr>
          <w:rFonts w:ascii="Courier New" w:hAnsi="Courier New"/>
          <w:sz w:val="17"/>
        </w:rPr>
        <w:t>V_rate &gt;= G_rate</w:t>
      </w:r>
    </w:p>
    <w:p>
      <w:pPr>
        <w:spacing w:after="120" w:line="252" w:lineRule="auto"/>
      </w:pPr>
      <w:r>
        <w:rPr>
          <w:rFonts w:ascii="Times New Roman" w:hAnsi="Times New Roman"/>
          <w:sz w:val="21"/>
        </w:rPr>
        <w:t>When this condition is not met, generated outputs accumulate faster than institutions can verify them. In low-risk workflows, this may appear as ordinary backlog. In high-risk workflows, especially those involving model updates, security changes, infrastructure modifications, autonomous experiments, or successor-system development, the backlog becomes a governance risk.</w:t>
      </w:r>
    </w:p>
    <w:p>
      <w:pPr>
        <w:spacing w:after="120" w:line="252" w:lineRule="auto"/>
      </w:pPr>
      <w:r>
        <w:rPr>
          <w:rFonts w:ascii="Times New Roman" w:hAnsi="Times New Roman"/>
          <w:sz w:val="21"/>
        </w:rPr>
        <w:t>Recursive self-improvement intensifies this problem. If AI systems increasingly participate in building, evaluating, and improving successor systems, the relevant object of oversight is no longer a single model output. It is the development loop itself. A development loop that can generate code, tests, evaluations, and further experiments faster than it can preserve and verify its own decision paths becomes difficult to govern, even if many individual outputs are locally useful.</w:t>
      </w:r>
    </w:p>
    <w:p>
      <w:pPr>
        <w:spacing w:after="120" w:line="252" w:lineRule="auto"/>
      </w:pPr>
      <w:r>
        <w:rPr>
          <w:rFonts w:ascii="Times New Roman" w:hAnsi="Times New Roman"/>
          <w:sz w:val="21"/>
        </w:rPr>
        <w:t>The Verification Kit addresses this problem by changing the unit of oversight. Instead of asking a reviewer to inspect every artifact directly, it asks the system to export a reproducible evidence route. This makes oversight more selective. Human attention can be directed toward failed conformance checks, missing evidence, non-PASS verdicts, undefined cases, and discrepancies between replayed and recorded results.</w:t>
      </w:r>
    </w:p>
    <w:p>
      <w:pPr>
        <w:spacing w:after="120" w:line="252" w:lineRule="auto"/>
      </w:pPr>
      <w:r>
        <w:rPr>
          <w:rFonts w:ascii="Times New Roman" w:hAnsi="Times New Roman"/>
          <w:sz w:val="21"/>
        </w:rPr>
        <w:t>However, this architecture faces several important failure modes.</w:t>
      </w:r>
    </w:p>
    <w:p>
      <w:pPr>
        <w:pStyle w:val="Heading2"/>
      </w:pPr>
      <w:r>
        <w:t>Table 3. Failure Modes and Mitigations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160"/>
            <w:shd w:fill="D9EAF7"/>
            <w:vAlign w:val="top"/>
            <w:tcMar>
              <w:top w:w="60" w:type="dxa"/>
              <w:left w:w="60" w:type="dxa"/>
              <w:bottom w:w="60" w:type="dxa"/>
              <w:right w:w="60" w:type="dxa"/>
            </w:tcMar>
          </w:tcPr>
          <w:p>
            <w:pPr>
              <w:spacing w:after="0" w:before="0"/>
            </w:pPr>
            <w:r/>
            <w:r>
              <w:rPr>
                <w:rFonts w:ascii="Times New Roman" w:hAnsi="Times New Roman"/>
                <w:b/>
                <w:sz w:val="16"/>
              </w:rPr>
              <w:t>Failure Mode</w:t>
            </w:r>
          </w:p>
        </w:tc>
        <w:tc>
          <w:tcPr>
            <w:tcW w:type="dxa" w:w="3456"/>
            <w:shd w:fill="D9EAF7"/>
            <w:vAlign w:val="top"/>
            <w:tcMar>
              <w:top w:w="60" w:type="dxa"/>
              <w:left w:w="60" w:type="dxa"/>
              <w:bottom w:w="60" w:type="dxa"/>
              <w:right w:w="60" w:type="dxa"/>
            </w:tcMar>
          </w:tcPr>
          <w:p>
            <w:pPr>
              <w:spacing w:after="0" w:before="0"/>
            </w:pPr>
            <w:r/>
            <w:r>
              <w:rPr>
                <w:rFonts w:ascii="Times New Roman" w:hAnsi="Times New Roman"/>
                <w:b/>
                <w:sz w:val="16"/>
              </w:rPr>
              <w:t>Risk</w:t>
            </w:r>
          </w:p>
        </w:tc>
        <w:tc>
          <w:tcPr>
            <w:tcW w:type="dxa" w:w="4032"/>
            <w:shd w:fill="D9EAF7"/>
            <w:vAlign w:val="top"/>
            <w:tcMar>
              <w:top w:w="60" w:type="dxa"/>
              <w:left w:w="60" w:type="dxa"/>
              <w:bottom w:w="60" w:type="dxa"/>
              <w:right w:w="60" w:type="dxa"/>
            </w:tcMar>
          </w:tcPr>
          <w:p>
            <w:pPr>
              <w:spacing w:after="0" w:before="0"/>
            </w:pPr>
            <w:r/>
            <w:r>
              <w:rPr>
                <w:rFonts w:ascii="Times New Roman" w:hAnsi="Times New Roman"/>
                <w:b/>
                <w:sz w:val="16"/>
              </w:rPr>
              <w:t>Mitigation</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Circular specification</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The AI-generated system defines the rules by which its own outputs are judged.</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External specification anchor; human-approved or multi-party signed specification; separation of specification authority from generation.</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Adversarial audit trail</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The system produces persuasive but misleading evidence or summaries.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Deterministic artifacts over narrative summaries; hashes; signatures; raw verdict records; evidence references.</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Stochastic replay failure</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Exact reproduction of model output is impossible due to nondeterministic inference or changing model versions.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Separate output replay from decision replay; preserve outputs and hashes; freeze verifier version; record model parameters where possible.</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Summary substitution</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Human-readable summaries replace machine-verifiable records.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Treat summaries as interface artifacts only; manifest and verdict records remain the verification surface.</w:t>
            </w:r>
          </w:p>
        </w:tc>
      </w:tr>
      <w:tr>
        <w:tc>
          <w:tcPr>
            <w:tcW w:type="dxa" w:w="2160"/>
            <w:vAlign w:val="top"/>
            <w:tcMar>
              <w:top w:w="60" w:type="dxa"/>
              <w:left w:w="60" w:type="dxa"/>
              <w:bottom w:w="60" w:type="dxa"/>
              <w:right w:w="60" w:type="dxa"/>
            </w:tcMar>
          </w:tcPr>
          <w:p>
            <w:pPr>
              <w:spacing w:after="0" w:before="0"/>
            </w:pPr>
            <w:r/>
            <w:r>
              <w:rPr>
                <w:rFonts w:ascii="Times New Roman" w:hAnsi="Times New Roman"/>
                <w:b w:val="0"/>
                <w:sz w:val="16"/>
              </w:rPr>
              <w:t>Verifier drift</w:t>
            </w:r>
          </w:p>
        </w:tc>
        <w:tc>
          <w:tcPr>
            <w:tcW w:type="dxa" w:w="3456"/>
            <w:vAlign w:val="top"/>
            <w:tcMar>
              <w:top w:w="60" w:type="dxa"/>
              <w:left w:w="60" w:type="dxa"/>
              <w:bottom w:w="60" w:type="dxa"/>
              <w:right w:w="60" w:type="dxa"/>
            </w:tcMar>
          </w:tcPr>
          <w:p>
            <w:pPr>
              <w:spacing w:after="0" w:before="0"/>
            </w:pPr>
            <w:r/>
            <w:r>
              <w:rPr>
                <w:rFonts w:ascii="Times New Roman" w:hAnsi="Times New Roman"/>
                <w:b w:val="0"/>
                <w:sz w:val="16"/>
              </w:rPr>
              <w:t>The verifier changes over time and produces different conclusions.</w:t>
            </w:r>
          </w:p>
        </w:tc>
        <w:tc>
          <w:tcPr>
            <w:tcW w:type="dxa" w:w="4032"/>
            <w:vAlign w:val="top"/>
            <w:tcMar>
              <w:top w:w="60" w:type="dxa"/>
              <w:left w:w="60" w:type="dxa"/>
              <w:bottom w:w="60" w:type="dxa"/>
              <w:right w:w="60" w:type="dxa"/>
            </w:tcMar>
          </w:tcPr>
          <w:p>
            <w:pPr>
              <w:spacing w:after="0" w:before="0"/>
            </w:pPr>
            <w:r/>
            <w:r>
              <w:rPr>
                <w:rFonts w:ascii="Times New Roman" w:hAnsi="Times New Roman"/>
                <w:b w:val="0"/>
                <w:sz w:val="16"/>
              </w:rPr>
              <w:t>Versioned verifier; verifier hash; signed conformance profile; regression tests.</w:t>
            </w:r>
          </w:p>
        </w:tc>
      </w:tr>
    </w:tbl>
    <w:p>
      <w:pPr>
        <w:spacing w:after="40"/>
      </w:pPr>
    </w:p>
    <w:p>
      <w:pPr>
        <w:pStyle w:val="Heading2"/>
      </w:pPr>
      <w:r>
        <w:t>3.1 Specification Anchoring and Circular Trust</w:t>
      </w:r>
    </w:p>
    <w:p>
      <w:pPr>
        <w:spacing w:after="120" w:line="252" w:lineRule="auto"/>
      </w:pPr>
      <w:r>
        <w:rPr>
          <w:rFonts w:ascii="Times New Roman" w:hAnsi="Times New Roman"/>
          <w:sz w:val="21"/>
        </w:rPr>
        <w:t>A Verification Kit can only replay a decision against a declared specification. This creates a specification anchoring problem. If the same AI system, or the same AI-led development loop, generates the code, writes the specification, evaluates the output, and exports the evidence package, then the verification process may become circular.</w:t>
      </w:r>
    </w:p>
    <w:p>
      <w:pPr>
        <w:spacing w:after="120" w:line="252" w:lineRule="auto"/>
      </w:pPr>
      <w:r>
        <w:rPr>
          <w:rFonts w:ascii="Times New Roman" w:hAnsi="Times New Roman"/>
          <w:sz w:val="21"/>
        </w:rPr>
        <w:t>In such a case, V_rate may appear to increase, but the source of trust may collapse into a closed loop. The system is no longer being verified against an independent standard. It is being verified against a standard that may itself have been produced or optimized by the same development process.</w:t>
      </w:r>
    </w:p>
    <w:p>
      <w:pPr>
        <w:spacing w:after="120" w:line="252" w:lineRule="auto"/>
      </w:pPr>
      <w:r>
        <w:rPr>
          <w:rFonts w:ascii="Times New Roman" w:hAnsi="Times New Roman"/>
          <w:sz w:val="21"/>
        </w:rPr>
        <w:t>A Verification Kit therefore requires an external specification anchor. The anchor may take several forms: a human-approved policy, a constitutional rule set, a frozen reference specification, a multi-party signed conformance profile, or a governance process that separates specification authorship from implementation. AI systems may draft specifications, but they should not be able to unilaterally define, modify, approve, and verify the rules under which their own outputs are judged.</w:t>
      </w:r>
    </w:p>
    <w:p>
      <w:pPr>
        <w:spacing w:after="120" w:line="252" w:lineRule="auto"/>
      </w:pPr>
      <w:r>
        <w:rPr>
          <w:rFonts w:ascii="Times New Roman" w:hAnsi="Times New Roman"/>
          <w:sz w:val="21"/>
        </w:rPr>
        <w:t>This does not require that all specifications be written manually. It requires that specification authority be separated from output generation. In recursive development settings, this separation becomes a core governance requirement.</w:t>
      </w:r>
    </w:p>
    <w:p>
      <w:pPr>
        <w:pStyle w:val="Heading2"/>
      </w:pPr>
      <w:r>
        <w:t>3.2 Adversarial Audit Trails</w:t>
      </w:r>
    </w:p>
    <w:p>
      <w:pPr>
        <w:spacing w:after="120" w:line="252" w:lineRule="auto"/>
      </w:pPr>
      <w:r>
        <w:rPr>
          <w:rFonts w:ascii="Times New Roman" w:hAnsi="Times New Roman"/>
          <w:sz w:val="21"/>
        </w:rPr>
        <w:t>A second failure mode is the adversarial audit trail. As AI systems become more capable, they may optimize not only for producing useful outputs, but also for producing artifacts that appear verifiable. A system may generate plausible evidence, persuasive summaries, or internally consistent logs that are designed to pass superficial review.</w:t>
      </w:r>
    </w:p>
    <w:p>
      <w:pPr>
        <w:spacing w:after="120" w:line="252" w:lineRule="auto"/>
      </w:pPr>
      <w:r>
        <w:rPr>
          <w:rFonts w:ascii="Times New Roman" w:hAnsi="Times New Roman"/>
          <w:sz w:val="21"/>
        </w:rPr>
        <w:t>This risk is especially serious if verification relies on natural-language explanations or AI-generated summaries. A model that can produce code can also produce a convincing story about why the code is safe. If the audit trail is merely narrative, then higher generation capability may increase the quality of deception as well as the quality of work.</w:t>
      </w:r>
    </w:p>
    <w:p>
      <w:pPr>
        <w:spacing w:after="120" w:line="252" w:lineRule="auto"/>
      </w:pPr>
      <w:r>
        <w:rPr>
          <w:rFonts w:ascii="Times New Roman" w:hAnsi="Times New Roman"/>
          <w:sz w:val="21"/>
        </w:rPr>
        <w:t>The Verification Kit reduces this risk by privileging deterministic artifacts over persuasive artifacts. The primary verification surface is not the summary. It is the manifest, the verdict records, the evidence references, the hashes, and the signatures. A summary may help a reviewer understand the run, but it must not be the source of truth.</w:t>
      </w:r>
    </w:p>
    <w:p>
      <w:pPr>
        <w:spacing w:after="120" w:line="252" w:lineRule="auto"/>
      </w:pPr>
      <w:r>
        <w:rPr>
          <w:rFonts w:ascii="Times New Roman" w:hAnsi="Times New Roman"/>
          <w:sz w:val="21"/>
        </w:rPr>
        <w:t>Cryptographic integrity does not prove that a decision is correct. It proves that a particular artifact has not been altered after it was recorded. Deterministic replay does not prove that the policy is wise. It proves whether the recorded decision follows the declared policy and evidence route. These are limited claims, but they are stronger than unverifiable narrative assurance.</w:t>
      </w:r>
    </w:p>
    <w:p>
      <w:pPr>
        <w:pStyle w:val="Heading2"/>
      </w:pPr>
      <w:r>
        <w:t>3.3 Determinism and Replay Constraints</w:t>
      </w:r>
    </w:p>
    <w:p>
      <w:pPr>
        <w:spacing w:after="120" w:line="252" w:lineRule="auto"/>
      </w:pPr>
      <w:r>
        <w:rPr>
          <w:rFonts w:ascii="Times New Roman" w:hAnsi="Times New Roman"/>
          <w:sz w:val="21"/>
        </w:rPr>
        <w:t>A third failure mode is the difficulty of deterministic replay. Many AI systems are stochastic. The same prompt may produce different outputs across runs. Model providers may update weights, change inference infrastructure, or alter safety filters. Even when a model name remains the same, the effective system may change.</w:t>
      </w:r>
    </w:p>
    <w:p>
      <w:pPr>
        <w:spacing w:after="120" w:line="252" w:lineRule="auto"/>
      </w:pPr>
      <w:r>
        <w:rPr>
          <w:rFonts w:ascii="Times New Roman" w:hAnsi="Times New Roman"/>
          <w:sz w:val="21"/>
        </w:rPr>
        <w:t>A Verification Kit must therefore distinguish between two kinds of replay.</w:t>
      </w:r>
    </w:p>
    <w:p>
      <w:pPr>
        <w:spacing w:after="120" w:line="252" w:lineRule="auto"/>
      </w:pPr>
      <w:r>
        <w:rPr>
          <w:rFonts w:ascii="Times New Roman" w:hAnsi="Times New Roman"/>
          <w:sz w:val="21"/>
        </w:rPr>
        <w:t>The first is output replay: reproducing the exact AI-generated output. This may require fixed seeds, frozen model versions, deterministic decoding settings, preserved prompts, tool outputs, and, where possible, stored sampling traces. In many real-world settings, exact output replay may be difficult or impossible.</w:t>
      </w:r>
    </w:p>
    <w:p>
      <w:pPr>
        <w:spacing w:after="120" w:line="252" w:lineRule="auto"/>
      </w:pPr>
      <w:r>
        <w:rPr>
          <w:rFonts w:ascii="Times New Roman" w:hAnsi="Times New Roman"/>
          <w:sz w:val="21"/>
        </w:rPr>
        <w:t>The second is decision replay: reproducing the gate decision or conformance judgment over a recorded output. This is often more feasible. The system may record the generated output, hash it, and then apply a deterministic verifier to that recorded artifact. In this model, the AI generation step may be stochastic, but the verification step is deterministic.</w:t>
      </w:r>
    </w:p>
    <w:p>
      <w:pPr>
        <w:spacing w:after="120" w:line="252" w:lineRule="auto"/>
      </w:pPr>
      <w:r>
        <w:rPr>
          <w:rFonts w:ascii="Times New Roman" w:hAnsi="Times New Roman"/>
          <w:sz w:val="21"/>
        </w:rPr>
        <w:t>This distinction is critical. The Verification Kit does not require that every AI inference be exactly re-run. It requires that the decision path used for verification be fixed, inspectable, and challengeable. For high-risk workflows, the kit should preserve enough information to support one or more of the following:</w:t>
      </w:r>
    </w:p>
    <w:p>
      <w:pPr>
        <w:pStyle w:val="CodeBlock"/>
        <w:spacing w:before="60" w:after="120"/>
        <w:ind w:left="360" w:right="144"/>
      </w:pPr>
      <w:r>
        <w:rPr>
          <w:rFonts w:ascii="Courier New" w:hAnsi="Courier New"/>
          <w:sz w:val="17"/>
        </w:rPr>
        <w:t>fixed model version</w:t>
        <w:br/>
        <w:t>fixed decoding parameters</w:t>
        <w:br/>
        <w:t>fixed random seed where applicable</w:t>
        <w:br/>
        <w:t>recorded prompt and tool context</w:t>
        <w:br/>
        <w:t>recorded generated output</w:t>
        <w:br/>
        <w:t>input and output hashes</w:t>
        <w:br/>
        <w:t>policy and specification hashes</w:t>
        <w:br/>
        <w:t>deterministic verifier version</w:t>
        <w:br/>
        <w:t>signature over the manifest or kit index</w:t>
      </w:r>
    </w:p>
    <w:p>
      <w:pPr>
        <w:spacing w:after="120" w:line="252" w:lineRule="auto"/>
      </w:pPr>
      <w:r>
        <w:rPr>
          <w:rFonts w:ascii="Times New Roman" w:hAnsi="Times New Roman"/>
          <w:sz w:val="21"/>
        </w:rPr>
        <w:t>Where exact output replay is not possible, the limitation should be explicitly recorded. The appropriate status may be HOLD, UNDEFINED, or PARTIAL_REPLAY, depending on the conformance profile. The point is not to pretend that stochastic systems are fully deterministic. The point is to isolate the stochastic component and make the verification component as deterministic as possible.</w:t>
      </w:r>
    </w:p>
    <w:p>
      <w:pPr>
        <w:pStyle w:val="Heading2"/>
      </w:pPr>
      <w:r>
        <w:t>3.4 Implications for Recursive AI Development</w:t>
      </w:r>
    </w:p>
    <w:p>
      <w:pPr>
        <w:spacing w:after="120" w:line="252" w:lineRule="auto"/>
      </w:pPr>
      <w:r>
        <w:rPr>
          <w:rFonts w:ascii="Times New Roman" w:hAnsi="Times New Roman"/>
          <w:sz w:val="21"/>
        </w:rPr>
        <w:t>These failure modes clarify the role of the Verification Kit. It is not an alignment solution. It is not a guarantee that the specification is correct, that the evidence is complete, or that a model cannot deceive a reviewer. It is a verification-rate mechanism with explicit dependency boundaries.</w:t>
      </w:r>
    </w:p>
    <w:p>
      <w:pPr>
        <w:spacing w:after="120" w:line="252" w:lineRule="auto"/>
      </w:pPr>
      <w:r>
        <w:rPr>
          <w:rFonts w:ascii="Times New Roman" w:hAnsi="Times New Roman"/>
          <w:sz w:val="21"/>
        </w:rPr>
        <w:t>For recursive AI development, this boundary is essential. A self-improving development loop must not be allowed to define its own rules, generate its own evidence, verify its own compliance, and approve its own successor without external anchors and replayable records.</w:t>
      </w:r>
    </w:p>
    <w:p>
      <w:pPr>
        <w:spacing w:after="120" w:line="252" w:lineRule="auto"/>
      </w:pPr>
      <w:r>
        <w:rPr>
          <w:rFonts w:ascii="Times New Roman" w:hAnsi="Times New Roman"/>
          <w:sz w:val="21"/>
        </w:rPr>
        <w:t>The minimum governance structure requires separation between:</w:t>
      </w:r>
    </w:p>
    <w:p>
      <w:pPr>
        <w:pStyle w:val="CodeBlock"/>
        <w:spacing w:before="60" w:after="120"/>
        <w:ind w:left="360" w:right="144"/>
      </w:pPr>
      <w:r>
        <w:rPr>
          <w:rFonts w:ascii="Courier New" w:hAnsi="Courier New"/>
          <w:sz w:val="17"/>
        </w:rPr>
        <w:t>specification authority</w:t>
        <w:br/>
        <w:t>generation process</w:t>
        <w:br/>
        <w:t>verification process</w:t>
        <w:br/>
        <w:t>approval authority</w:t>
        <w:br/>
        <w:t>audit record</w:t>
      </w:r>
    </w:p>
    <w:p>
      <w:pPr>
        <w:spacing w:after="120" w:line="252" w:lineRule="auto"/>
      </w:pPr>
      <w:r>
        <w:rPr>
          <w:rFonts w:ascii="Times New Roman" w:hAnsi="Times New Roman"/>
          <w:sz w:val="21"/>
        </w:rPr>
        <w:t>The Verification Kit contributes to this separation by exporting the verification route. It makes it possible for another party to inspect whether the recorded decision followed the declared specification, whether evidence was missing, whether uncertainty was hidden, and whether a non-PASS condition should have stopped the process.</w:t>
      </w:r>
    </w:p>
    <w:p>
      <w:pPr>
        <w:spacing w:after="120" w:line="252" w:lineRule="auto"/>
      </w:pPr>
      <w:r>
        <w:rPr>
          <w:rFonts w:ascii="Times New Roman" w:hAnsi="Times New Roman"/>
          <w:sz w:val="21"/>
        </w:rPr>
        <w:t>This changes the trust model. Traditional AI governance often depends on claims made by the system provider: the system was tested, reviewed, aligned, or made safe. The Verification Kit shifts the basis of trust from assertion to reproduction.</w:t>
      </w:r>
    </w:p>
    <w:p>
      <w:pPr>
        <w:spacing w:after="120" w:line="252" w:lineRule="auto"/>
      </w:pPr>
      <w:r>
        <w:rPr>
          <w:rFonts w:ascii="Times New Roman" w:hAnsi="Times New Roman"/>
          <w:sz w:val="21"/>
        </w:rPr>
        <w:t>The relevant question becomes not only:</w:t>
      </w:r>
    </w:p>
    <w:p>
      <w:pPr>
        <w:pStyle w:val="CodeBlock"/>
        <w:spacing w:before="60" w:after="120"/>
        <w:ind w:left="360" w:right="144"/>
      </w:pPr>
      <w:r>
        <w:rPr>
          <w:rFonts w:ascii="Courier New" w:hAnsi="Courier New"/>
          <w:sz w:val="17"/>
        </w:rPr>
        <w:t>Do we trust the provider?</w:t>
      </w:r>
    </w:p>
    <w:p>
      <w:pPr>
        <w:spacing w:after="120" w:line="252" w:lineRule="auto"/>
      </w:pPr>
      <w:r>
        <w:rPr>
          <w:rFonts w:ascii="Times New Roman" w:hAnsi="Times New Roman"/>
          <w:sz w:val="21"/>
        </w:rPr>
        <w:t>but also:</w:t>
      </w:r>
    </w:p>
    <w:p>
      <w:pPr>
        <w:pStyle w:val="CodeBlock"/>
        <w:spacing w:before="60" w:after="120"/>
        <w:ind w:left="360" w:right="144"/>
      </w:pPr>
      <w:r>
        <w:rPr>
          <w:rFonts w:ascii="Courier New" w:hAnsi="Courier New"/>
          <w:sz w:val="17"/>
        </w:rPr>
        <w:t>Can another party reproduce or challenge the decision path?</w:t>
      </w:r>
    </w:p>
    <w:p>
      <w:pPr>
        <w:spacing w:after="120" w:line="252" w:lineRule="auto"/>
      </w:pPr>
      <w:r>
        <w:rPr>
          <w:rFonts w:ascii="Times New Roman" w:hAnsi="Times New Roman"/>
          <w:sz w:val="21"/>
        </w:rPr>
        <w:t>This does not remove the need for judgment. A verifier may still disagree with the specification, reject the policy, question the evidence, or require a stronger audit. The Kit does not settle those disputes automatically. Its function is to make the dispute technically possible, bounded, and faster.</w:t>
      </w:r>
    </w:p>
    <w:p>
      <w:pPr>
        <w:spacing w:after="120" w:line="252" w:lineRule="auto"/>
      </w:pPr>
      <w:r>
        <w:rPr>
          <w:rFonts w:ascii="Times New Roman" w:hAnsi="Times New Roman"/>
          <w:sz w:val="21"/>
        </w:rPr>
        <w:t>The broader implication is that AI governance should treat verification throughput as a first-class design requirement. As generation becomes cheaper and faster, safety cannot rely solely on slower human review processes. Governance systems must export evidence, preserve execution context, support replay, separate specification authority from generation, and make uncertainty visible.</w:t>
      </w:r>
    </w:p>
    <w:p>
      <w:pPr>
        <w:spacing w:after="120" w:line="252" w:lineRule="auto"/>
      </w:pPr>
      <w:r>
        <w:rPr>
          <w:rFonts w:ascii="Times New Roman" w:hAnsi="Times New Roman"/>
          <w:sz w:val="21"/>
        </w:rPr>
        <w:t>In this sense, the Verification Rate Gap provides a practical frame for the era of AI-built-AI workflows. The central question is not only how capable AI systems become, but whether institutions can verify their outputs, experiments, and development decisions at comparable speed. Without such a verification layer, recursive AI development risks becoming an opaque accumulation of unverified debt. With it, faster development can be coupled to a chain of verifiable trust.</w:t>
      </w:r>
    </w:p>
    <w:p>
      <w:r>
        <w:t>A companion repository skeleton has been prepared for the Verification Kit artifacts described in this Research Note. It includes example manifests, verdict records, summary and conformance files, undefined and evidence digest examples, schema drafts, and a BYO-AI auditor prompt. These artifacts are illustrative and do not constitute certification, production readiness, a safety guarantee, or a truth guarantee. A public repository URL should be added before formal submission if the repository is published.</w:t>
      </w:r>
    </w:p>
    <w:p>
      <w:pPr>
        <w:pStyle w:val="Heading1"/>
      </w:pPr>
      <w:r>
        <w:t>Implementation Note</w:t>
      </w:r>
    </w:p>
    <w:p>
      <w:pPr>
        <w:pStyle w:val="Heading1"/>
      </w:pPr>
      <w:r>
        <w:t>References</w:t>
      </w:r>
    </w:p>
    <w:p>
      <w:pPr>
        <w:spacing w:after="120" w:line="252" w:lineRule="auto"/>
        <w:ind w:left="360" w:hanging="360"/>
      </w:pPr>
      <w:r>
        <w:rPr>
          <w:rFonts w:ascii="Times New Roman" w:hAnsi="Times New Roman"/>
          <w:sz w:val="21"/>
        </w:rPr>
        <w:t>[1] Marina Favaro and Jack Clark. "When AI builds itself: Our progress toward recursive self-improvement, and its implications." Anthropic Institute, 2026. https://www.anthropic.com/institute/recursive-self-improvement</w:t>
      </w:r>
    </w:p>
    <w:p>
      <w:pPr>
        <w:spacing w:after="120" w:line="252" w:lineRule="auto"/>
        <w:ind w:left="360" w:hanging="360"/>
      </w:pPr>
      <w:r>
        <w:rPr>
          <w:rFonts w:ascii="Times New Roman" w:hAnsi="Times New Roman"/>
          <w:sz w:val="21"/>
        </w:rPr>
        <w:t>[2] METR. "Measuring AI Ability to Complete Long Tasks." March 19, 2025. https://metr.org/blog/2025-03-19-measuring-ai-ability-to-complete-long-tasks/</w:t>
      </w:r>
    </w:p>
    <w:p>
      <w:pPr>
        <w:spacing w:after="120" w:line="252" w:lineRule="auto"/>
        <w:ind w:left="360" w:hanging="360"/>
      </w:pPr>
      <w:r>
        <w:rPr>
          <w:rFonts w:ascii="Times New Roman" w:hAnsi="Times New Roman"/>
          <w:sz w:val="21"/>
        </w:rPr>
        <w:t>[3] Carlos E. Jimenez, John Yang, Alexander Wettig, Shunyu Yao, Kexin Pei, Ofir Press, and Karthik Narasimhan. "SWE-bench: Can Language Models Resolve Real-World GitHub Issues?" ICLR 2024. https://openreview.net/forum?id=VTF8yNQM66</w:t>
      </w:r>
    </w:p>
    <w:p>
      <w:pPr>
        <w:spacing w:after="120" w:line="252" w:lineRule="auto"/>
        <w:ind w:left="360" w:hanging="360"/>
      </w:pPr>
      <w:r>
        <w:rPr>
          <w:rFonts w:ascii="Times New Roman" w:hAnsi="Times New Roman"/>
          <w:sz w:val="21"/>
        </w:rPr>
        <w:t>[4] Zachary S. Siegel, Sayash Kapoor, Nitya Nagdir, Benedikt Stroebl, and Arvind Narayanan. "CORE-Bench: Fostering the Credibility of Published Research Through a Computational Reproducibility Agent Benchmark." arXiv:2409.11363, 2024. https://arxiv.org/abs/2409.11363</w:t>
      </w:r>
    </w:p>
    <w:p>
      <w:pPr>
        <w:pStyle w:val="Heading1"/>
      </w:pPr>
      <w:r>
        <w:t>Appendix A. Example Run Manifest</w:t>
      </w:r>
    </w:p>
    <w:p>
      <w:pPr>
        <w:spacing w:after="120" w:line="252" w:lineRule="auto"/>
      </w:pPr>
      <w:r>
        <w:rPr>
          <w:rFonts w:ascii="Times New Roman" w:hAnsi="Times New Roman"/>
          <w:sz w:val="21"/>
        </w:rPr>
        <w:t>The following example illustrates the minimum structure of a run manifest. Values are placeholders and should be replaced by actual hashes, versions, and timestamps in implementation.</w:t>
      </w:r>
    </w:p>
    <w:p>
      <w:pPr>
        <w:pStyle w:val="CodeBlock"/>
        <w:spacing w:before="60" w:after="120"/>
        <w:ind w:left="360" w:right="144"/>
      </w:pPr>
      <w:r>
        <w:rPr>
          <w:rFonts w:ascii="Courier New" w:hAnsi="Courier New"/>
          <w:sz w:val="14"/>
        </w:rPr>
        <w:t>{</w:t>
        <w:br/>
        <w:t xml:space="preserve">  "schema_version": "verification-kit.manifest.v0.1",</w:t>
        <w:br/>
        <w:t xml:space="preserve">  "kit_id": "vk_2026_0605_example_001",</w:t>
        <w:br/>
        <w:t xml:space="preserve">  "created_at": "2026-06-05T08:00:00Z",</w:t>
        <w:br/>
        <w:t xml:space="preserve">  "created_by": {</w:t>
        <w:br/>
        <w:t xml:space="preserve">    "organization": "C3 Social Design Center",</w:t>
        <w:br/>
        <w:t xml:space="preserve">    "system": "AMS Phase 5 prototype",</w:t>
        <w:br/>
        <w:t xml:space="preserve">    "operator_role": "research_prototype"</w:t>
        <w:br/>
        <w:t xml:space="preserve">  },</w:t>
        <w:br/>
        <w:t xml:space="preserve">  "scope": {</w:t>
        <w:br/>
        <w:t xml:space="preserve">    "workflow_type": "ai_development_gate_replay",</w:t>
        <w:br/>
        <w:t xml:space="preserve">    "claim_boundary": ["auditability", "reproducibility", "decision_path_traceability"],</w:t>
        <w:br/>
        <w:t xml:space="preserve">    "excluded_claims": ["absolute_safety", "truth_guarantee", "production_certification", "complete_alignment"]</w:t>
        <w:br/>
        <w:t xml:space="preserve">  },</w:t>
        <w:br/>
        <w:t xml:space="preserve">  "inputs": {</w:t>
        <w:br/>
        <w:t xml:space="preserve">    "dataset": {"name": "example_gate_requests", "record_count": 20, "sha256": "sha256:REPLACE_WITH_DATASET_HASH"},</w:t>
        <w:br/>
        <w:t xml:space="preserve">    "specification": {"name": "verification_rate_gap_research_note", "version": "v0.1", "sha256": "sha256:REPLACE_WITH_SPEC_HASH"},</w:t>
        <w:br/>
        <w:t xml:space="preserve">    "policy": {"name": "example_release_gate_policy", "version": "v0.1", "sha256": "sha256:REPLACE_WITH_POLICY_HASH"}</w:t>
        <w:br/>
        <w:t xml:space="preserve">  },</w:t>
        <w:br/>
        <w:t xml:space="preserve">  "engine": {</w:t>
        <w:br/>
        <w:t xml:space="preserve">    "name": "ams_replay_engine",</w:t>
        <w:br/>
        <w:t xml:space="preserve">    "version": "v0.1-prototype",</w:t>
        <w:br/>
        <w:t xml:space="preserve">    "deterministic_mode": true,</w:t>
        <w:br/>
        <w:t xml:space="preserve">    "runtime_llm_used": false,</w:t>
        <w:br/>
        <w:t xml:space="preserve">    "sha256": "sha256:REPLACE_WITH_ENGINE_HASH"</w:t>
        <w:br/>
        <w:t xml:space="preserve">  },</w:t>
        <w:br/>
        <w:t xml:space="preserve">  "outputs": {</w:t>
        <w:br/>
        <w:t xml:space="preserve">    "verdicts": {"path": "verdicts.jsonl", "sha256": "sha256:REPLACE_WITH_VERDICTS_HASH"},</w:t>
        <w:br/>
        <w:t xml:space="preserve">    "summary": {"path": "summary.json", "sha256": "sha256:REPLACE_WITH_SUMMARY_HASH"},</w:t>
        <w:br/>
        <w:t xml:space="preserve">    "conformance": {"path": "conformance.json", "sha256": "sha256:REPLACE_WITH_CONFORMANCE_HASH"},</w:t>
        <w:br/>
        <w:t xml:space="preserve">    "undefined_report": {"path": "undefined_report.json", "sha256": "sha256:REPLACE_WITH_UNDEFINED_HASH"},</w:t>
        <w:br/>
        <w:t xml:space="preserve">    "evidence_digest": {"path": "evidence_digest.json", "sha256": "sha256:REPLACE_WITH_EVIDENCE_DIGEST_HASH"}</w:t>
        <w:br/>
        <w:t xml:space="preserve">  },</w:t>
        <w:br/>
        <w:t xml:space="preserve">  "verdict_summary": {"total_cases": 20, "pass": 8, "hold": 7, "escalate": 3, "fail": 0, "undefined": 2, "non_pass_total": 12},</w:t>
        <w:br/>
        <w:t xml:space="preserve">  "verification": {</w:t>
        <w:br/>
        <w:t xml:space="preserve">    "replay_expected": true,</w:t>
        <w:br/>
        <w:t xml:space="preserve">    "same_input_same_spec_same_engine_required": true,</w:t>
        <w:br/>
        <w:t xml:space="preserve">    "cli_reference_verifier": {"required": true, "command_example": "verify-kit --kit ./verification_kit --strict"},</w:t>
        <w:br/>
        <w:t xml:space="preserve">    "byo_ai_audit": {"allowed": true, "source_of_truth": false, "prompt_path": "auditor_prompt.md"}</w:t>
        <w:br/>
        <w:t xml:space="preserve">  },</w:t>
        <w:br/>
        <w:t xml:space="preserve">  "integrity": {</w:t>
        <w:br/>
        <w:t xml:space="preserve">    "signed_manifest": true,</w:t>
        <w:br/>
        <w:t xml:space="preserve">    "signature_path": "signature.sig",</w:t>
        <w:br/>
        <w:t xml:space="preserve">    "signature_algorithm": "REPLACE_WITH_SIGNATURE_ALGORITHM",</w:t>
        <w:br/>
        <w:t xml:space="preserve">    "previous_manifest_hash": null</w:t>
        <w:br/>
        <w:t xml:space="preserve">  }</w:t>
        <w:br/>
        <w:t>}</w:t>
      </w:r>
    </w:p>
    <w:p>
      <w:pPr>
        <w:pStyle w:val="Heading1"/>
      </w:pPr>
      <w:r>
        <w:t>Appendix B. Example Verdict Records</w:t>
      </w:r>
    </w:p>
    <w:p>
      <w:pPr>
        <w:spacing w:after="120" w:line="252" w:lineRule="auto"/>
      </w:pPr>
      <w:r>
        <w:rPr>
          <w:rFonts w:ascii="Times New Roman" w:hAnsi="Times New Roman"/>
          <w:sz w:val="21"/>
        </w:rPr>
        <w:t>The following examples illustrate line-oriented verdict records. Each line is independently inspectable and can be linked to evidence references and specification references.</w:t>
      </w:r>
    </w:p>
    <w:p>
      <w:pPr>
        <w:pStyle w:val="CodeBlock"/>
        <w:spacing w:before="60" w:after="120"/>
        <w:ind w:left="360" w:right="144"/>
      </w:pPr>
      <w:r>
        <w:rPr>
          <w:rFonts w:ascii="Courier New" w:hAnsi="Courier New"/>
          <w:sz w:val="14"/>
        </w:rPr>
        <w:t>{"case_id":"case_001","input_hash":"sha256:REPLACE_INPUT_HASH_001","verdict":"PASS","reason_codes":["RC_OK"],"spec_refs":["release_gate.v0.1#pass_conditions"],"evidence_refs":["evidence_digest.json#case_001"],"permit_token_issued":true}</w:t>
        <w:br/>
        <w:t>{"case_id":"case_002","input_hash":"sha256:REPLACE_INPUT_HASH_002","verdict":"HOLD","reason_codes":["RC_EVIDENCE_MISSING"],"spec_refs":["release_gate.v0.1#evidence_requirements"],"evidence_refs":[],"permit_token_issued":false}</w:t>
        <w:br/>
        <w:t>{"case_id":"case_003","input_hash":"sha256:REPLACE_INPUT_HASH_003","verdict":"UNDEFINED","reason_codes":["RC_UNSUPPORTED_INPUT"],"spec_refs":["release_gate.v0.1#undefined_conditions"],"evidence_refs":[],"permit_token_issued":false}</w:t>
      </w:r>
    </w:p>
    <w:p>
      <w:pPr>
        <w:pStyle w:val="Heading1"/>
      </w:pPr>
      <w:r>
        <w:t>Author Note / AI Assistance Disclosure</w:t>
      </w:r>
    </w:p>
    <w:p>
      <w:pPr>
        <w:spacing w:after="120" w:line="252" w:lineRule="auto"/>
      </w:pPr>
      <w:r>
        <w:rPr>
          <w:rFonts w:ascii="Times New Roman" w:hAnsi="Times New Roman"/>
          <w:sz w:val="21"/>
        </w:rPr>
        <w:t>This draft was prepared by the author with assistance from an AI language model. The author directed the framing, reviewed the claims, and remains responsible for the final content, boundaries, and submission decision.</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Draft v0.1 - The Verification Rate Gap - C3 Social Design Center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shd w:fill="F2F2F2"/>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Verification Rate Gap: A Conceptual Metric for AI Development Risk</dc:title>
  <dc:subject>AI governance; verification throughput; recursive AI development</dc:subject>
  <dc:creator>Jun Gorai</dc:creator>
  <cp:keywords>Verification Rate Gap, Verification Kit, AI Governance, Recursive Self-Improvement, Auditability, Reproducibility</cp:keywords>
  <dc:description>Draft v0.1 prepared for SSRN-style research note submission.</dc:description>
  <cp:lastModifiedBy/>
  <cp:revision>1</cp:revision>
  <dcterms:created xsi:type="dcterms:W3CDTF">2013-12-23T23:15:00Z</dcterms:created>
  <dcterms:modified xsi:type="dcterms:W3CDTF">2013-12-23T23:15:00Z</dcterms:modified>
  <cp:category/>
</cp:coreProperties>
</file>