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eastAsia="Microsoft YaHei"/>
          <w:sz w:val="34"/>
          <w:b/>
        </w:rPr>
        <w:t>优秀内部项目简报样例</w:t>
      </w:r>
    </w:p>
    <w:p>
      <w:pPr>
        <w:spacing w:after="80"/>
      </w:pPr>
      <w:r>
        <w:rPr>
          <w:rFonts w:eastAsia="Microsoft YaHei"/>
          <w:sz w:val="18"/>
        </w:rPr>
        <w:t>启明商用车售后网络效率项目｜内部讨论稿（与新岚汽车案例业务无关）</w:t>
      </w:r>
    </w:p>
    <w:p>
      <w:pPr>
        <w:spacing w:after="80"/>
      </w:pPr>
      <w:r>
        <w:rPr>
          <w:rFonts w:eastAsia="Microsoft YaHei"/>
          <w:sz w:val="23"/>
          <w:b/>
        </w:rPr>
        <w:t>核心判断</w:t>
      </w:r>
    </w:p>
    <w:p>
      <w:pPr>
        <w:spacing w:after="80"/>
        <w:shd w:fill="EAF2F8"/>
      </w:pPr>
      <w:r>
        <w:rPr>
          <w:rFonts w:eastAsia="Microsoft YaHei"/>
          <w:sz w:val="22"/>
          <w:b/>
        </w:rPr>
        <w:t>当前材料更支持“响应慢由多环节共同造成”的判断，暂不支持简单归因为门店人员不足。</w:t>
      </w:r>
    </w:p>
    <w:p>
      <w:pPr>
        <w:spacing w:after="80"/>
      </w:pPr>
      <w:r>
        <w:rPr>
          <w:rFonts w:eastAsia="Microsoft YaHei"/>
          <w:sz w:val="23"/>
          <w:b/>
        </w:rPr>
        <w:t>已确认事实</w:t>
      </w:r>
    </w:p>
    <w:p>
      <w:pPr>
        <w:spacing w:after="80"/>
      </w:pPr>
      <w:r>
        <w:rPr>
          <w:rFonts w:eastAsia="Microsoft YaHei"/>
          <w:sz w:val="20"/>
        </w:rPr>
        <w:t>• 三个样本城市均出现预约等待时间延长；</w:t>
      </w:r>
    </w:p>
    <w:p>
      <w:pPr>
        <w:spacing w:after="80"/>
      </w:pPr>
      <w:r>
        <w:rPr>
          <w:rFonts w:eastAsia="Microsoft YaHei"/>
          <w:sz w:val="20"/>
        </w:rPr>
        <w:t>• 两个城市的配件一次满足率下降；</w:t>
      </w:r>
    </w:p>
    <w:p>
      <w:pPr>
        <w:spacing w:after="80"/>
      </w:pPr>
      <w:r>
        <w:rPr>
          <w:rFonts w:eastAsia="Microsoft YaHei"/>
          <w:sz w:val="20"/>
        </w:rPr>
        <w:t>• 只有一个城市明确报告技师缺口。</w:t>
      </w:r>
    </w:p>
    <w:p>
      <w:pPr>
        <w:spacing w:after="80"/>
      </w:pPr>
      <w:r>
        <w:rPr>
          <w:rFonts w:eastAsia="Microsoft YaHei"/>
          <w:sz w:val="23"/>
          <w:b/>
        </w:rPr>
        <w:t>关键问题与证据边界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eastAsia="Microsoft YaHei"/>
                <w:sz w:val="18"/>
                <w:b/>
              </w:rPr>
              <w:t>主题</w:t>
            </w:r>
          </w:p>
        </w:tc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eastAsia="Microsoft YaHei"/>
                <w:sz w:val="18"/>
                <w:b/>
              </w:rPr>
              <w:t>当前判断</w:t>
            </w:r>
          </w:p>
        </w:tc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eastAsia="Microsoft YaHei"/>
                <w:sz w:val="18"/>
                <w:b/>
              </w:rPr>
              <w:t>证据边界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预约等待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三个样本城市均变长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样本仅覆盖三个城市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配件供应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两地一次满足率下降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尚未确认是否为主要原因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人员配置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仅一地明确缺员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不能外推为全国共性</w:t>
            </w:r>
          </w:p>
        </w:tc>
      </w:tr>
    </w:tbl>
    <w:p>
      <w:pPr>
        <w:spacing w:after="80"/>
      </w:pPr>
      <w:r>
        <w:rPr>
          <w:rFonts w:eastAsia="Microsoft YaHei"/>
          <w:sz w:val="23"/>
          <w:b/>
        </w:rPr>
        <w:t>当前风险</w:t>
      </w:r>
    </w:p>
    <w:p>
      <w:pPr>
        <w:spacing w:after="80"/>
      </w:pPr>
      <w:r>
        <w:rPr>
          <w:rFonts w:eastAsia="Microsoft YaHei"/>
          <w:sz w:val="20"/>
        </w:rPr>
        <w:t>• 把“人员不足”写成唯一原因，会超出当前证据。</w:t>
      </w:r>
    </w:p>
    <w:p>
      <w:pPr>
        <w:spacing w:after="80"/>
      </w:pPr>
      <w:r>
        <w:rPr>
          <w:rFonts w:eastAsia="Microsoft YaHei"/>
          <w:sz w:val="20"/>
        </w:rPr>
        <w:t>• 不同城市的配件问题可能来自不同环节，需继续拆分。</w:t>
      </w:r>
    </w:p>
    <w:p>
      <w:pPr>
        <w:spacing w:after="80"/>
      </w:pPr>
      <w:r>
        <w:rPr>
          <w:rFonts w:eastAsia="Microsoft YaHei"/>
          <w:sz w:val="23"/>
          <w:b/>
        </w:rPr>
        <w:t>下一步</w:t>
      </w:r>
    </w:p>
    <w:p>
      <w:pPr>
        <w:spacing w:after="80"/>
      </w:pPr>
      <w:r>
        <w:rPr>
          <w:rFonts w:eastAsia="Microsoft YaHei"/>
          <w:sz w:val="20"/>
        </w:rPr>
        <w:t>1. 补充各城市预约等待、技师产能和配件满足率的同口径数据；</w:t>
      </w:r>
    </w:p>
    <w:p>
      <w:pPr>
        <w:spacing w:after="80"/>
      </w:pPr>
      <w:r>
        <w:rPr>
          <w:rFonts w:eastAsia="Microsoft YaHei"/>
          <w:sz w:val="20"/>
        </w:rPr>
        <w:t>2. 对异常城市追加访谈，区分需求波动、排班、配件和流程因素；</w:t>
      </w:r>
    </w:p>
    <w:p>
      <w:pPr>
        <w:spacing w:after="80"/>
      </w:pPr>
      <w:r>
        <w:rPr>
          <w:rFonts w:eastAsia="Microsoft YaHei"/>
          <w:sz w:val="20"/>
        </w:rPr>
        <w:t>3. 下一轮内部会只确认问题框架，不提前给全国网络方案。</w:t>
      </w:r>
    </w:p>
    <w:p>
      <w:pPr>
        <w:spacing w:after="80"/>
      </w:pPr>
      <w:r>
        <w:rPr>
          <w:rFonts w:eastAsia="Microsoft YaHei"/>
          <w:sz w:val="23"/>
          <w:b/>
        </w:rPr>
        <w:t>表达原则</w:t>
      </w:r>
    </w:p>
    <w:p>
      <w:pPr>
        <w:spacing w:after="80"/>
        <w:shd w:fill="F2F2F2"/>
      </w:pPr>
      <w:r>
        <w:rPr>
          <w:rFonts w:eastAsia="Microsoft YaHei"/>
          <w:sz w:val="19"/>
        </w:rPr>
        <w:t>结论先行；事实、观点、假设分开；明确样本边界；下一步可执行。</w:t>
      </w:r>
    </w:p>
    <w:sectPr>
      <w:pgSz w:w="11906" w:h="16838"/>
      <w:pgMar w:top="900" w:right="900" w:bottom="900" w:left="900"/>
    </w:sectPr>
  </w:body>
</w:document>
</file>