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eastAsia="Microsoft YaHei"/>
          <w:sz w:val="34"/>
          <w:b/>
        </w:rPr>
        <w:t>启明商用车售后网络效率项目</w:t>
      </w:r>
    </w:p>
    <w:p>
      <w:pPr>
        <w:spacing w:after="80"/>
      </w:pPr>
      <w:r>
        <w:rPr>
          <w:rFonts w:eastAsia="Microsoft YaHei"/>
          <w:sz w:val="18"/>
        </w:rPr>
        <w:t>阶段内部简报｜项目组历史材料</w:t>
      </w:r>
    </w:p>
    <w:p>
      <w:pPr>
        <w:spacing w:after="80"/>
      </w:pPr>
      <w:r>
        <w:rPr>
          <w:rFonts w:eastAsia="Microsoft YaHei"/>
          <w:sz w:val="23"/>
          <w:b/>
        </w:rPr>
        <w:t>核心判断</w:t>
      </w:r>
    </w:p>
    <w:p>
      <w:pPr>
        <w:spacing w:after="80"/>
        <w:shd w:fill="EAF2F8"/>
      </w:pPr>
      <w:r>
        <w:rPr>
          <w:rFonts w:eastAsia="Microsoft YaHei"/>
          <w:sz w:val="22"/>
          <w:b/>
        </w:rPr>
        <w:t>当前材料更支持“响应慢由多环节共同造成”的判断，暂不支持简单归因为门店人员不足。</w:t>
      </w:r>
    </w:p>
    <w:p>
      <w:pPr>
        <w:spacing w:after="80"/>
      </w:pPr>
      <w:r>
        <w:rPr>
          <w:rFonts w:eastAsia="Microsoft YaHei"/>
          <w:sz w:val="23"/>
          <w:b/>
        </w:rPr>
        <w:t>一、已确认事实</w:t>
      </w:r>
    </w:p>
    <w:p>
      <w:pPr>
        <w:spacing w:after="80"/>
      </w:pPr>
      <w:r>
        <w:rPr>
          <w:rFonts w:eastAsia="Microsoft YaHei"/>
          <w:sz w:val="20"/>
        </w:rPr>
        <w:t>• 样本 20 个服务网点中，有 7 个网点的常用配件满足率低于 85%。</w:t>
      </w:r>
    </w:p>
    <w:p>
      <w:pPr>
        <w:spacing w:after="80"/>
      </w:pPr>
      <w:r>
        <w:rPr>
          <w:rFonts w:eastAsia="Microsoft YaHei"/>
          <w:sz w:val="20"/>
        </w:rPr>
        <w:t>• 外围城市 6 个网点的平均服务半径明显高于中心城市样本。</w:t>
      </w:r>
    </w:p>
    <w:p>
      <w:pPr>
        <w:spacing w:after="80"/>
      </w:pPr>
      <w:r>
        <w:rPr>
          <w:rFonts w:eastAsia="Microsoft YaHei"/>
          <w:sz w:val="20"/>
        </w:rPr>
        <w:t>• 三个区域都反馈高峰时段预约排队，但只有一个区域建立了跨店分流机制。</w:t>
      </w:r>
    </w:p>
    <w:p>
      <w:pPr>
        <w:spacing w:after="80"/>
      </w:pPr>
      <w:r>
        <w:rPr>
          <w:rFonts w:eastAsia="Microsoft YaHei"/>
          <w:sz w:val="23"/>
          <w:b/>
        </w:rPr>
        <w:t>二、关键问题与证据边界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pPr>
              <w:spacing w:after="20"/>
            </w:pPr>
            <w:r>
              <w:rPr>
                <w:rFonts w:eastAsia="Microsoft YaHei"/>
                <w:sz w:val="18"/>
                <w:b/>
              </w:rPr>
              <w:t>主题</w:t>
            </w:r>
          </w:p>
        </w:tc>
        <w:tc>
          <w:tcPr>
            <w:shd w:fill="D9EAF7"/>
          </w:tcPr>
          <w:p>
            <w:pPr>
              <w:spacing w:after="20"/>
            </w:pPr>
            <w:r>
              <w:rPr>
                <w:rFonts w:eastAsia="Microsoft YaHei"/>
                <w:sz w:val="18"/>
                <w:b/>
              </w:rPr>
              <w:t>当前判断</w:t>
            </w:r>
          </w:p>
        </w:tc>
        <w:tc>
          <w:tcPr>
            <w:shd w:fill="D9EAF7"/>
          </w:tcPr>
          <w:p>
            <w:pPr>
              <w:spacing w:after="20"/>
            </w:pPr>
            <w:r>
              <w:rPr>
                <w:rFonts w:eastAsia="Microsoft YaHei"/>
                <w:sz w:val="18"/>
                <w:b/>
              </w:rPr>
              <w:t>证据边界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eastAsia="Microsoft YaHei"/>
                <w:sz w:val="18"/>
              </w:rPr>
              <w:t>配件</w:t>
            </w:r>
          </w:p>
        </w:tc>
        <w:tc>
          <w:tcPr/>
          <w:p>
            <w:pPr>
              <w:spacing w:after="20"/>
            </w:pPr>
            <w:r>
              <w:rPr>
                <w:rFonts w:eastAsia="Microsoft YaHei"/>
                <w:sz w:val="18"/>
              </w:rPr>
              <w:t>部分网点缺件可能拉长一次修复时间</w:t>
            </w:r>
          </w:p>
        </w:tc>
        <w:tc>
          <w:tcPr/>
          <w:p>
            <w:pPr>
              <w:spacing w:after="20"/>
            </w:pPr>
            <w:r>
              <w:rPr>
                <w:rFonts w:eastAsia="Microsoft YaHei"/>
                <w:sz w:val="18"/>
              </w:rPr>
              <w:t>只有 20 个网点样本，尚未覆盖全部车型与季节波动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eastAsia="Microsoft YaHei"/>
                <w:sz w:val="18"/>
              </w:rPr>
              <w:t>服务半径</w:t>
            </w:r>
          </w:p>
        </w:tc>
        <w:tc>
          <w:tcPr/>
          <w:p>
            <w:pPr>
              <w:spacing w:after="20"/>
            </w:pPr>
            <w:r>
              <w:rPr>
                <w:rFonts w:eastAsia="Microsoft YaHei"/>
                <w:sz w:val="18"/>
              </w:rPr>
              <w:t>外围区域服务距离可能影响客户体验</w:t>
            </w:r>
          </w:p>
        </w:tc>
        <w:tc>
          <w:tcPr/>
          <w:p>
            <w:pPr>
              <w:spacing w:after="20"/>
            </w:pPr>
            <w:r>
              <w:rPr>
                <w:rFonts w:eastAsia="Microsoft YaHei"/>
                <w:sz w:val="18"/>
              </w:rPr>
              <w:t>缺少客户流失率与距离的配对数据，不能证明因果</w:t>
            </w:r>
          </w:p>
        </w:tc>
      </w:tr>
      <w:tr>
        <w:tc>
          <w:tcPr/>
          <w:p>
            <w:pPr>
              <w:spacing w:after="20"/>
            </w:pPr>
            <w:r>
              <w:rPr>
                <w:rFonts w:eastAsia="Microsoft YaHei"/>
                <w:sz w:val="18"/>
              </w:rPr>
              <w:t>预约分流</w:t>
            </w:r>
          </w:p>
        </w:tc>
        <w:tc>
          <w:tcPr/>
          <w:p>
            <w:pPr>
              <w:spacing w:after="20"/>
            </w:pPr>
            <w:r>
              <w:rPr>
                <w:rFonts w:eastAsia="Microsoft YaHei"/>
                <w:sz w:val="18"/>
              </w:rPr>
              <w:t>流程差异可能放大高峰拥堵</w:t>
            </w:r>
          </w:p>
        </w:tc>
        <w:tc>
          <w:tcPr/>
          <w:p>
            <w:pPr>
              <w:spacing w:after="20"/>
            </w:pPr>
            <w:r>
              <w:rPr>
                <w:rFonts w:eastAsia="Microsoft YaHei"/>
                <w:sz w:val="18"/>
              </w:rPr>
              <w:t>尚未统一测量各店工位利用率与峰值等待时间</w:t>
            </w:r>
          </w:p>
        </w:tc>
      </w:tr>
    </w:tbl>
    <w:p>
      <w:pPr>
        <w:spacing w:after="80"/>
      </w:pPr>
      <w:r>
        <w:rPr>
          <w:rFonts w:eastAsia="Microsoft YaHei"/>
          <w:sz w:val="23"/>
          <w:b/>
        </w:rPr>
        <w:t>三、当前风险</w:t>
      </w:r>
    </w:p>
    <w:p>
      <w:pPr>
        <w:spacing w:after="80"/>
      </w:pPr>
      <w:r>
        <w:rPr>
          <w:rFonts w:eastAsia="Microsoft YaHei"/>
          <w:sz w:val="20"/>
        </w:rPr>
        <w:t>• 如果把“高等待时间”直接归因于人员不足，可能导致增员但不解决缺件和跨店协同问题。</w:t>
      </w:r>
    </w:p>
    <w:p>
      <w:pPr>
        <w:spacing w:after="80"/>
      </w:pPr>
      <w:r>
        <w:rPr>
          <w:rFonts w:eastAsia="Microsoft YaHei"/>
          <w:sz w:val="20"/>
        </w:rPr>
        <w:t>• 部分网点数据口径不同，下一轮分析前需要先统一“等待时间”“一次修复率”等定义。</w:t>
      </w:r>
    </w:p>
    <w:p>
      <w:pPr>
        <w:spacing w:after="80"/>
      </w:pPr>
      <w:r>
        <w:rPr>
          <w:rFonts w:eastAsia="Microsoft YaHei"/>
          <w:sz w:val="23"/>
          <w:b/>
        </w:rPr>
        <w:t>四、下一步</w:t>
      </w:r>
    </w:p>
    <w:p>
      <w:pPr>
        <w:spacing w:after="80"/>
      </w:pPr>
      <w:r>
        <w:rPr>
          <w:rFonts w:eastAsia="Microsoft YaHei"/>
          <w:sz w:val="20"/>
        </w:rPr>
        <w:t>1. 统一关键指标口径；</w:t>
      </w:r>
    </w:p>
    <w:p>
      <w:pPr>
        <w:spacing w:after="80"/>
      </w:pPr>
      <w:r>
        <w:rPr>
          <w:rFonts w:eastAsia="Microsoft YaHei"/>
          <w:sz w:val="20"/>
        </w:rPr>
        <w:t>2. 补齐配件满足率与等待时间数据；</w:t>
      </w:r>
    </w:p>
    <w:p>
      <w:pPr>
        <w:spacing w:after="80"/>
      </w:pPr>
      <w:r>
        <w:rPr>
          <w:rFonts w:eastAsia="Microsoft YaHei"/>
          <w:sz w:val="20"/>
        </w:rPr>
        <w:t>3. 抽样访谈客户与服务顾问；</w:t>
      </w:r>
    </w:p>
    <w:p>
      <w:pPr>
        <w:spacing w:after="80"/>
      </w:pPr>
      <w:r>
        <w:rPr>
          <w:rFonts w:eastAsia="Microsoft YaHei"/>
          <w:sz w:val="20"/>
        </w:rPr>
        <w:t>4. 对比分流机制不同的网点。</w:t>
      </w:r>
    </w:p>
    <w:p>
      <w:pPr>
        <w:spacing w:after="80"/>
      </w:pPr>
      <w:r>
        <w:rPr>
          <w:rFonts w:eastAsia="Microsoft YaHei"/>
          <w:sz w:val="23"/>
          <w:b/>
        </w:rPr>
        <w:t>五、项目组表达原则</w:t>
      </w:r>
    </w:p>
    <w:p>
      <w:pPr>
        <w:spacing w:after="80"/>
        <w:shd w:fill="F2F2F2"/>
      </w:pPr>
      <w:r>
        <w:rPr>
          <w:rFonts w:eastAsia="Microsoft YaHei"/>
          <w:sz w:val="19"/>
        </w:rPr>
        <w:t>事实、访谈观点和项目判断分开写；没有足够证据时明确写“待验证”；内部简报用于帮助项目组继续判断，不是为了把页面写满。</w:t>
      </w:r>
    </w:p>
    <w:sectPr>
      <w:pgSz w:w="11906" w:h="16838"/>
      <w:pgMar w:top="900" w:right="900" w:bottom="900" w:left="900"/>
    </w:sectPr>
  </w:body>
</w:document>
</file>