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Lore &amp; Source Policy</w:t>
      </w:r>
    </w:p>
    <w:p>
      <w:pPr>
        <w:pStyle w:val="Subtitle"/>
      </w:pPr>
      <w:r>
        <w:t>Fallout Lore Archive — Project Reference Document</w:t>
      </w:r>
    </w:p>
    <w:p>
      <w:pPr>
        <w:jc w:val="left"/>
      </w:pPr>
      <w:r>
        <w:rPr>
          <w:i/>
          <w:sz w:val="22"/>
        </w:rPr>
        <w:t>Defines how evidence, provenance, uncertainty, contradictions, continuity/status and copyrighted source material should be handled.</w:t>
      </w:r>
    </w:p>
    <w:tbl>
      <w:tblPr>
        <w:tblStyle w:val="TableGrid"/>
        <w:tblW w:type="auto" w:w="0"/>
        <w:jc w:val="left"/>
        <w:tblLook w:firstColumn="1" w:firstRow="1" w:lastColumn="0" w:lastRow="0" w:noHBand="0" w:noVBand="1" w:val="04A0"/>
      </w:tblPr>
      <w:tblGrid>
        <w:gridCol w:w="4939"/>
        <w:gridCol w:w="4939"/>
      </w:tblGrid>
      <w:tr>
        <w:tc>
          <w:tcPr>
            <w:tcW w:type="dxa" w:w="4939"/>
            <w:shd w:fill="E9EDF2"/>
            <w:vAlign w:val="center"/>
          </w:tcPr>
          <w:p>
            <w:r>
              <w:rPr>
                <w:b/>
              </w:rPr>
              <w:t>Document status</w:t>
            </w:r>
          </w:p>
        </w:tc>
        <w:tc>
          <w:tcPr>
            <w:tcW w:type="dxa" w:w="4939"/>
            <w:vAlign w:val="center"/>
          </w:tcPr>
          <w:p>
            <w:r>
              <w:t>Working project reference</w:t>
            </w:r>
          </w:p>
        </w:tc>
      </w:tr>
      <w:tr>
        <w:tc>
          <w:tcPr>
            <w:tcW w:type="dxa" w:w="4939"/>
            <w:shd w:fill="E9EDF2"/>
            <w:vAlign w:val="center"/>
          </w:tcPr>
          <w:p>
            <w:r>
              <w:rPr>
                <w:b/>
              </w:rPr>
              <w:t>Version</w:t>
            </w:r>
          </w:p>
        </w:tc>
        <w:tc>
          <w:tcPr>
            <w:tcW w:type="dxa" w:w="4939"/>
            <w:vAlign w:val="center"/>
          </w:tcPr>
          <w:p>
            <w:r>
              <w:t>v0.1</w:t>
            </w:r>
          </w:p>
        </w:tc>
      </w:tr>
      <w:tr>
        <w:tc>
          <w:tcPr>
            <w:tcW w:type="dxa" w:w="4939"/>
            <w:shd w:fill="E9EDF2"/>
            <w:vAlign w:val="center"/>
          </w:tcPr>
          <w:p>
            <w:r>
              <w:rPr>
                <w:b/>
              </w:rPr>
              <w:t>Date</w:t>
            </w:r>
          </w:p>
        </w:tc>
        <w:tc>
          <w:tcPr>
            <w:tcW w:type="dxa" w:w="4939"/>
            <w:vAlign w:val="center"/>
          </w:tcPr>
          <w:p>
            <w:r>
              <w:t>16 August 2026</w:t>
            </w:r>
          </w:p>
        </w:tc>
      </w:tr>
      <w:tr>
        <w:tc>
          <w:tcPr>
            <w:tcW w:type="dxa" w:w="4939"/>
            <w:shd w:fill="E9EDF2"/>
            <w:vAlign w:val="center"/>
          </w:tcPr>
          <w:p>
            <w:r>
              <w:rPr>
                <w:b/>
              </w:rPr>
              <w:t>Intended use</w:t>
            </w:r>
          </w:p>
        </w:tc>
        <w:tc>
          <w:tcPr>
            <w:tcW w:type="dxa" w:w="4939"/>
            <w:vAlign w:val="center"/>
          </w:tcPr>
          <w:p>
            <w:r>
              <w:t>Shared context for ChatGPT project work and future contributors</w:t>
            </w:r>
          </w:p>
        </w:tc>
      </w:tr>
    </w:tbl>
    <w:p>
      <w:r>
        <w:br w:type="page"/>
      </w:r>
    </w:p>
    <w:tbl>
      <w:tblPr>
        <w:tblStyle w:val="TableGrid"/>
        <w:tblW w:type="auto" w:w="0"/>
        <w:tblLook w:firstColumn="1" w:firstRow="1" w:lastColumn="0" w:lastRow="0" w:noHBand="0" w:noVBand="1" w:val="04A0"/>
      </w:tblPr>
      <w:tblGrid>
        <w:gridCol w:w="9878"/>
      </w:tblGrid>
      <w:tr>
        <w:tc>
          <w:tcPr>
            <w:tcW w:type="dxa" w:w="9878"/>
            <w:shd w:fill="F3F6F8"/>
          </w:tcPr>
          <w:p>
            <w:r>
              <w:rPr>
                <w:b/>
              </w:rPr>
              <w:t>This is an editorial and data-governance policy. It deliberately separates what a source says from how the project classifies or interprets it. Final Fallout canon taxonomy may be refined by later dedicated research; the schema must not hard-code disputed assumptions prematurely.</w:t>
            </w:r>
          </w:p>
        </w:tc>
      </w:tr>
    </w:tbl>
    <w:p>
      <w:pPr>
        <w:pStyle w:val="Heading1"/>
      </w:pPr>
      <w:r>
        <w:t>1. Policy Objectives</w:t>
      </w:r>
    </w:p>
    <w:p>
      <w:pPr>
        <w:pStyle w:val="ListBullet"/>
      </w:pPr>
      <w:r>
        <w:t>Prevent unsupported information from being presented as established fact.</w:t>
      </w:r>
    </w:p>
    <w:p>
      <w:pPr>
        <w:pStyle w:val="ListBullet"/>
      </w:pPr>
      <w:r>
        <w:t>Make important claims traceable to evidence.</w:t>
      </w:r>
    </w:p>
    <w:p>
      <w:pPr>
        <w:pStyle w:val="ListBullet"/>
      </w:pPr>
      <w:r>
        <w:t>Distinguish source material from summaries and editorial interpretation.</w:t>
      </w:r>
    </w:p>
    <w:p>
      <w:pPr>
        <w:pStyle w:val="ListBullet"/>
      </w:pPr>
      <w:r>
        <w:t>Preserve contradictory accounts, retcons and ambiguity.</w:t>
      </w:r>
    </w:p>
    <w:p>
      <w:pPr>
        <w:pStyle w:val="ListBullet"/>
      </w:pPr>
      <w:r>
        <w:t>Allow the application to filter material by source work, continuity/status and evidence category.</w:t>
      </w:r>
    </w:p>
    <w:p>
      <w:pPr>
        <w:pStyle w:val="ListBullet"/>
      </w:pPr>
      <w:r>
        <w:t>Support AI-assisted research without allowing AI output itself to become evidence.</w:t>
      </w:r>
    </w:p>
    <w:p>
      <w:pPr>
        <w:pStyle w:val="ListBullet"/>
      </w:pPr>
      <w:r>
        <w:t>Reduce copyright risk by favouring metadata, citations and paraphrased summaries over unnecessary reproduction of protected text.</w:t>
      </w:r>
    </w:p>
    <w:p>
      <w:pPr>
        <w:pStyle w:val="Heading1"/>
      </w:pPr>
      <w:r>
        <w:t>2. Core Editorial Rules</w:t>
      </w:r>
    </w:p>
    <w:p>
      <w:pPr>
        <w:pStyle w:val="ListNumber"/>
      </w:pPr>
      <w:r>
        <w:t>No substantive lore claim should be treated as confirmed solely because an AI system generated it.</w:t>
      </w:r>
    </w:p>
    <w:p>
      <w:pPr>
        <w:pStyle w:val="ListNumber"/>
      </w:pPr>
      <w:r>
        <w:t>A wiki page, forum post, video or fan discussion may help discover evidence but does not automatically replace the underlying primary source.</w:t>
      </w:r>
    </w:p>
    <w:p>
      <w:pPr>
        <w:pStyle w:val="ListNumber"/>
      </w:pPr>
      <w:r>
        <w:t>Where a reliable primary source is available, the project should cite or reference it directly.</w:t>
      </w:r>
    </w:p>
    <w:p>
      <w:pPr>
        <w:pStyle w:val="ListNumber"/>
      </w:pPr>
      <w:r>
        <w:t>Absence of evidence must not be converted into a confident negative claim.</w:t>
      </w:r>
    </w:p>
    <w:p>
      <w:pPr>
        <w:pStyle w:val="ListNumber"/>
      </w:pPr>
      <w:r>
        <w:t>Inferences must be labelled as inferences.</w:t>
      </w:r>
    </w:p>
    <w:p>
      <w:pPr>
        <w:pStyle w:val="ListNumber"/>
      </w:pPr>
      <w:r>
        <w:t>Approximate dates and locations must remain approximate.</w:t>
      </w:r>
    </w:p>
    <w:p>
      <w:pPr>
        <w:pStyle w:val="ListNumber"/>
      </w:pPr>
      <w:r>
        <w:t>Conflicting evidence must remain separately recoverable.</w:t>
      </w:r>
    </w:p>
    <w:p>
      <w:pPr>
        <w:pStyle w:val="ListNumber"/>
      </w:pPr>
      <w:r>
        <w:t>Editorial resolution of a contradiction must not erase the underlying contradictory assertions.</w:t>
      </w:r>
    </w:p>
    <w:p>
      <w:pPr>
        <w:pStyle w:val="ListNumber"/>
      </w:pPr>
      <w:r>
        <w:t>Fan theory may be documented only when intentionally supported as a separate category; it must never be merged into sourced lore by default.</w:t>
      </w:r>
    </w:p>
    <w:p>
      <w:pPr>
        <w:pStyle w:val="ListNumber"/>
      </w:pPr>
      <w:r>
        <w:t>The application should make clear when information comes from cut, unused, promotional, developer-commentary or otherwise differently classified material.</w:t>
      </w:r>
    </w:p>
    <w:p>
      <w:pPr>
        <w:pStyle w:val="Heading1"/>
      </w:pPr>
      <w:r>
        <w:t>3. Evidence Hierarchy</w:t>
      </w:r>
    </w:p>
    <w:p>
      <w:pPr>
        <w:pStyle w:val="Heading2"/>
      </w:pPr>
      <w:r>
        <w:t>3.1 Primary in-universe or work-level evidence</w:t>
      </w:r>
    </w:p>
    <w:p>
      <w:r>
        <w:t>Primary evidence consists of information presented directly by an official Fallout work or its delivered content. Examples include game dialogue, terminal entries, holotapes, notes, quest text, environmental information, official on-screen text and television episode content. A primary source can still be unreliable in-universe; a character's statement is evidence that the character said it, not necessarily that the statement is objectively true.</w:t>
      </w:r>
    </w:p>
    <w:p>
      <w:pPr>
        <w:pStyle w:val="Heading2"/>
      </w:pPr>
      <w:r>
        <w:t>3.2 Official supplementary evidence</w:t>
      </w:r>
    </w:p>
    <w:p>
      <w:r>
        <w:t>This category may include official manuals, strategy guides, official websites, Bethesda publications, promotional materials and developer commentary. These sources should retain their exact type because their authority and relationship to released works can vary.</w:t>
      </w:r>
    </w:p>
    <w:p>
      <w:pPr>
        <w:pStyle w:val="Heading2"/>
      </w:pPr>
      <w:r>
        <w:t>3.3 Curated secondary sources</w:t>
      </w:r>
    </w:p>
    <w:p>
      <w:r>
        <w:t>Fallout wikis, encyclopedic summaries and other curated references are valuable discovery and cross-checking tools. They should normally point research toward underlying evidence rather than being treated as indistinguishable from primary material.</w:t>
      </w:r>
    </w:p>
    <w:p>
      <w:pPr>
        <w:pStyle w:val="Heading2"/>
      </w:pPr>
      <w:r>
        <w:t>3.4 Informal secondary/discovery sources</w:t>
      </w:r>
    </w:p>
    <w:p>
      <w:r>
        <w:t>Reddit, forums, YouTube, social posts and fan discussions may expose obscure references or disputed interpretations. They should generally be used for discovery only unless the project is explicitly recording the existence of a fan interpretation.</w:t>
      </w:r>
    </w:p>
    <w:p>
      <w:pPr>
        <w:pStyle w:val="Heading2"/>
      </w:pPr>
      <w:r>
        <w:t>3.5 AI output</w:t>
      </w:r>
    </w:p>
    <w:p>
      <w:r>
        <w:t>AI output is never an evidentiary source. It may summarise, extract, classify, compare or propose structured records based on cited material. Every claim produced through AI-assisted ingestion remains subject to normal source requirements.</w:t>
      </w:r>
    </w:p>
    <w:p>
      <w:pPr>
        <w:pStyle w:val="Heading1"/>
      </w:pPr>
      <w:r>
        <w:t>4. Source Record Requirements</w:t>
      </w:r>
    </w:p>
    <w:p>
      <w:r>
        <w:t>A source record should identify evidence precisely enough that another contributor can locate and review it where practicable.</w:t>
      </w:r>
    </w:p>
    <w:p>
      <w:pPr>
        <w:pStyle w:val="ListBullet"/>
      </w:pPr>
      <w:r>
        <w:t>Stable source ID.</w:t>
      </w:r>
    </w:p>
    <w:p>
      <w:pPr>
        <w:pStyle w:val="ListBullet"/>
      </w:pPr>
      <w:r>
        <w:t>Source work or production.</w:t>
      </w:r>
    </w:p>
    <w:p>
      <w:pPr>
        <w:pStyle w:val="ListBullet"/>
      </w:pPr>
      <w:r>
        <w:t>Source type: dialogue, terminal, holotape, note, quest, episode, guide, interview, wiki, etc.</w:t>
      </w:r>
    </w:p>
    <w:p>
      <w:pPr>
        <w:pStyle w:val="ListBullet"/>
      </w:pPr>
      <w:r>
        <w:t>Specific title/name or locator.</w:t>
      </w:r>
    </w:p>
    <w:p>
      <w:pPr>
        <w:pStyle w:val="ListBullet"/>
      </w:pPr>
      <w:r>
        <w:t>Speaker, author or terminal owner where relevant.</w:t>
      </w:r>
    </w:p>
    <w:p>
      <w:pPr>
        <w:pStyle w:val="ListBullet"/>
      </w:pPr>
      <w:r>
        <w:t>Quest, location or episode context where relevant.</w:t>
      </w:r>
    </w:p>
    <w:p>
      <w:pPr>
        <w:pStyle w:val="ListBullet"/>
      </w:pPr>
      <w:r>
        <w:t>Timestamp, line identifier, entry title, page, section or other locator where available.</w:t>
      </w:r>
    </w:p>
    <w:p>
      <w:pPr>
        <w:pStyle w:val="ListBullet"/>
      </w:pPr>
      <w:r>
        <w:t>Publication/release date where useful.</w:t>
      </w:r>
    </w:p>
    <w:p>
      <w:pPr>
        <w:pStyle w:val="ListBullet"/>
      </w:pPr>
      <w:r>
        <w:t>Public URL where lawful and stable enough to be useful.</w:t>
      </w:r>
    </w:p>
    <w:p>
      <w:pPr>
        <w:pStyle w:val="ListBullet"/>
      </w:pPr>
      <w:r>
        <w:t>Retrieval date for mutable web sources where appropriate.</w:t>
      </w:r>
    </w:p>
    <w:p>
      <w:pPr>
        <w:pStyle w:val="ListBullet"/>
      </w:pPr>
      <w:r>
        <w:t>Source classification and optional reliability/editorial notes.</w:t>
      </w:r>
    </w:p>
    <w:p>
      <w:pPr>
        <w:pStyle w:val="ListBullet"/>
      </w:pPr>
      <w:r>
        <w:t>Copyright/text-availability status where relevant to whether content may be redistributed.</w:t>
      </w:r>
    </w:p>
    <w:p>
      <w:pPr>
        <w:pStyle w:val="Heading1"/>
      </w:pPr>
      <w:r>
        <w:t>5. Claims and Evidence</w:t>
      </w:r>
    </w:p>
    <w:p>
      <w:r>
        <w:t>The preferred conceptual direction is to treat important facts as claims/assertions that can carry their own evidence and qualification rather than burying every fact as an unqualified field on an entity.</w:t>
      </w:r>
    </w:p>
    <w:p>
      <w:pPr>
        <w:pStyle w:val="Heading2"/>
      </w:pPr>
      <w:r>
        <w:t>5.1 Example</w:t>
      </w:r>
    </w:p>
    <w:p>
      <w:r>
        <w:t>Claim: "Roger Maxson founded the Brotherhood of Steel."</w:t>
      </w:r>
    </w:p>
    <w:p>
      <w:pPr>
        <w:pStyle w:val="ListBullet"/>
      </w:pPr>
      <w:r>
        <w:t>Subject: Roger Maxson.</w:t>
      </w:r>
    </w:p>
    <w:p>
      <w:pPr>
        <w:pStyle w:val="ListBullet"/>
      </w:pPr>
      <w:r>
        <w:t>Predicate: founded.</w:t>
      </w:r>
    </w:p>
    <w:p>
      <w:pPr>
        <w:pStyle w:val="ListBullet"/>
      </w:pPr>
      <w:r>
        <w:t>Object: Brotherhood of Steel.</w:t>
      </w:r>
    </w:p>
    <w:p>
      <w:pPr>
        <w:pStyle w:val="ListBullet"/>
      </w:pPr>
      <w:r>
        <w:t>Temporal context: appropriate structured date or range.</w:t>
      </w:r>
    </w:p>
    <w:p>
      <w:pPr>
        <w:pStyle w:val="ListBullet"/>
      </w:pPr>
      <w:r>
        <w:t>Evidence: one or more source references.</w:t>
      </w:r>
    </w:p>
    <w:p>
      <w:pPr>
        <w:pStyle w:val="ListBullet"/>
      </w:pPr>
      <w:r>
        <w:t>Certainty/classification: based on evidence and project policy.</w:t>
      </w:r>
    </w:p>
    <w:p>
      <w:pPr>
        <w:pStyle w:val="ListBullet"/>
      </w:pPr>
      <w:r>
        <w:t>Continuity/work scope: preserved independently.</w:t>
      </w:r>
    </w:p>
    <w:p>
      <w:pPr>
        <w:pStyle w:val="ListBullet"/>
      </w:pPr>
      <w:r>
        <w:t>Editorial notes: optional and distinct from evidence.</w:t>
      </w:r>
    </w:p>
    <w:p>
      <w:pPr>
        <w:pStyle w:val="Heading2"/>
      </w:pPr>
      <w:r>
        <w:t>5.2 Multiple evidence records</w:t>
      </w:r>
    </w:p>
    <w:p>
      <w:r>
        <w:t>A claim may be supported by several independent sources. The data model should avoid copying the entire claim for each source unless the sources actually make materially different assertions.</w:t>
      </w:r>
    </w:p>
    <w:p>
      <w:pPr>
        <w:pStyle w:val="Heading2"/>
      </w:pPr>
      <w:r>
        <w:t>5.3 Source statements versus project claims</w:t>
      </w:r>
    </w:p>
    <w:p>
      <w:r>
        <w:t>Where the distinction matters, the system should be capable of representing that a source states something without asserting that the project accepts the statement as objectively true. This is especially important for propaganda, mistaken characters, legends and conflicting testimony.</w:t>
      </w:r>
    </w:p>
    <w:p>
      <w:pPr>
        <w:pStyle w:val="Heading1"/>
      </w:pPr>
      <w:r>
        <w:t>6. Certainty and Epistemic Status</w:t>
      </w:r>
    </w:p>
    <w:p>
      <w:r>
        <w:t>Exact labels should be finalised during schema design, but the system should be able to distinguish concepts such as:</w:t>
      </w:r>
    </w:p>
    <w:p>
      <w:pPr>
        <w:pStyle w:val="ListBullet"/>
      </w:pPr>
      <w:r>
        <w:t>Explicit/confirmed by evidence.</w:t>
      </w:r>
    </w:p>
    <w:p>
      <w:pPr>
        <w:pStyle w:val="ListBullet"/>
      </w:pPr>
      <w:r>
        <w:t>Strongly supported by multiple compatible sources.</w:t>
      </w:r>
    </w:p>
    <w:p>
      <w:pPr>
        <w:pStyle w:val="ListBullet"/>
      </w:pPr>
      <w:r>
        <w:t>Inferred from evidence but not directly stated.</w:t>
      </w:r>
    </w:p>
    <w:p>
      <w:pPr>
        <w:pStyle w:val="ListBullet"/>
      </w:pPr>
      <w:r>
        <w:t>Approximate or uncertain.</w:t>
      </w:r>
    </w:p>
    <w:p>
      <w:pPr>
        <w:pStyle w:val="ListBullet"/>
      </w:pPr>
      <w:r>
        <w:t>Disputed or contradicted.</w:t>
      </w:r>
    </w:p>
    <w:p>
      <w:pPr>
        <w:pStyle w:val="ListBullet"/>
      </w:pPr>
      <w:r>
        <w:t>Unknown/insufficient evidence.</w:t>
      </w:r>
    </w:p>
    <w:p>
      <w:pPr>
        <w:pStyle w:val="ListBullet"/>
      </w:pPr>
      <w:r>
        <w:t>Editorial hypothesis or unresolved interpretation.</w:t>
      </w:r>
    </w:p>
    <w:p>
      <w:r>
        <w:t>These concepts should not be collapsed into a single numerical confidence score unless a later design shows a clear benefit. Human-readable categorical status is more auditable for lore work.</w:t>
      </w:r>
    </w:p>
    <w:p>
      <w:pPr>
        <w:pStyle w:val="Heading1"/>
      </w:pPr>
      <w:r>
        <w:t>7. Continuity, Canon and Content Status</w:t>
      </w:r>
    </w:p>
    <w:p>
      <w:r>
        <w:t>The project must not reduce all Fallout material to a single true/false canon field. Instead, records should preserve at least the source work and a separately maintained classification/status layer.</w:t>
      </w:r>
    </w:p>
    <w:p>
      <w:r>
        <w:t>The eventual taxonomy should be capable of distinguishing released game material, television material, differently treated titles, Creation Club or comparable material, Fallout Bible material, cut/unused content, promotional material, developer statements and inferred/editorial material. Exact labels and policy positions must be supported by research rather than assumed.</w:t>
      </w:r>
    </w:p>
    <w:p>
      <w:r>
        <w:t>Filtering decisions in the UI should operate on these classifications without deleting or rewriting the underlying data.</w:t>
      </w:r>
    </w:p>
    <w:p>
      <w:pPr>
        <w:pStyle w:val="Heading1"/>
      </w:pPr>
      <w:r>
        <w:t>8. Contradictions and Retcons</w:t>
      </w:r>
    </w:p>
    <w:p>
      <w:pPr>
        <w:pStyle w:val="Heading2"/>
      </w:pPr>
      <w:r>
        <w:t>8.1 Preservation rule</w:t>
      </w:r>
    </w:p>
    <w:p>
      <w:r>
        <w:t>When sources conflict, store the incompatible assertions separately and link them through a contradiction or dispute structure. Do not choose one value simply to satisfy a database field.</w:t>
      </w:r>
    </w:p>
    <w:p>
      <w:pPr>
        <w:pStyle w:val="Heading2"/>
      </w:pPr>
      <w:r>
        <w:t>8.2 Editorial assessment</w:t>
      </w:r>
    </w:p>
    <w:p>
      <w:r>
        <w:t>An editorial layer may classify a conflict with labels such as unresolved contradiction, likely retcon, likely source error, perspective difference or apparent reconciliation. This assessment must remain separate from the primary evidence.</w:t>
      </w:r>
    </w:p>
    <w:p>
      <w:pPr>
        <w:pStyle w:val="Heading2"/>
      </w:pPr>
      <w:r>
        <w:t>8.3 Example treatment</w:t>
      </w:r>
    </w:p>
    <w:p>
      <w:pPr>
        <w:pStyle w:val="ListBullet"/>
      </w:pPr>
      <w:r>
        <w:t>Assertion A: event date is 2076; supported by Source A.</w:t>
      </w:r>
    </w:p>
    <w:p>
      <w:pPr>
        <w:pStyle w:val="ListBullet"/>
      </w:pPr>
      <w:r>
        <w:t>Assertion B: event date is 2077; supported by Source B.</w:t>
      </w:r>
    </w:p>
    <w:p>
      <w:pPr>
        <w:pStyle w:val="ListBullet"/>
      </w:pPr>
      <w:r>
        <w:t>Conflict group: links A and B.</w:t>
      </w:r>
    </w:p>
    <w:p>
      <w:pPr>
        <w:pStyle w:val="ListBullet"/>
      </w:pPr>
      <w:r>
        <w:t>Editorial status: unresolved unless a sourced resolution exists.</w:t>
      </w:r>
    </w:p>
    <w:p>
      <w:pPr>
        <w:pStyle w:val="ListBullet"/>
      </w:pPr>
      <w:r>
        <w:t>Timeline behaviour: show an uncertainty range or conflict indicator rather than silently selecting one date.</w:t>
      </w:r>
    </w:p>
    <w:p>
      <w:pPr>
        <w:pStyle w:val="Heading1"/>
      </w:pPr>
      <w:r>
        <w:t>9. Temporal Evidence</w:t>
      </w:r>
    </w:p>
    <w:p>
      <w:pPr>
        <w:pStyle w:val="ListBullet"/>
      </w:pPr>
      <w:r>
        <w:t>Do not infer 1 January when only a year is known.</w:t>
      </w:r>
    </w:p>
    <w:p>
      <w:pPr>
        <w:pStyle w:val="ListBullet"/>
      </w:pPr>
      <w:r>
        <w:t>Do not infer midnight when only a date is known.</w:t>
      </w:r>
    </w:p>
    <w:p>
      <w:pPr>
        <w:pStyle w:val="ListBullet"/>
      </w:pPr>
      <w:r>
        <w:t>Record earliest/latest bounds where a source supports only a range.</w:t>
      </w:r>
    </w:p>
    <w:p>
      <w:pPr>
        <w:pStyle w:val="ListBullet"/>
      </w:pPr>
      <w:r>
        <w:t>Record relative chronology such as before/after another event when absolute dating is unavailable.</w:t>
      </w:r>
    </w:p>
    <w:p>
      <w:pPr>
        <w:pStyle w:val="ListBullet"/>
      </w:pPr>
      <w:r>
        <w:t>Keep human-readable source wording available when useful to explain why a date is approximate.</w:t>
      </w:r>
    </w:p>
    <w:p>
      <w:pPr>
        <w:pStyle w:val="ListBullet"/>
      </w:pPr>
      <w:r>
        <w:t>If different sources imply different temporal bounds, preserve those assertions separately.</w:t>
      </w:r>
    </w:p>
    <w:p>
      <w:pPr>
        <w:pStyle w:val="Heading1"/>
      </w:pPr>
      <w:r>
        <w:t>10. Geographic Evidence</w:t>
      </w:r>
    </w:p>
    <w:p>
      <w:pPr>
        <w:pStyle w:val="ListBullet"/>
      </w:pPr>
      <w:r>
        <w:t>Exact real-world correspondence and inferred map placement must be different states.</w:t>
      </w:r>
    </w:p>
    <w:p>
      <w:pPr>
        <w:pStyle w:val="ListBullet"/>
      </w:pPr>
      <w:r>
        <w:t>A location may be represented by a point, approximate area, broad region or unknown geometry.</w:t>
      </w:r>
    </w:p>
    <w:p>
      <w:pPr>
        <w:pStyle w:val="ListBullet"/>
      </w:pPr>
      <w:r>
        <w:t>The method used to derive a location should be recorded where it is not explicit.</w:t>
      </w:r>
    </w:p>
    <w:p>
      <w:pPr>
        <w:pStyle w:val="ListBullet"/>
      </w:pPr>
      <w:r>
        <w:t>Visual map precision must not exceed evidentiary precision.</w:t>
      </w:r>
    </w:p>
    <w:p>
      <w:pPr>
        <w:pStyle w:val="ListBullet"/>
      </w:pPr>
      <w:r>
        <w:t>Nested locations should be modelled independently from exact global coordinates where appropriate.</w:t>
      </w:r>
    </w:p>
    <w:p>
      <w:pPr>
        <w:pStyle w:val="ListBullet"/>
      </w:pPr>
      <w:r>
        <w:t>A fictional location can remain useful in the database even when no responsible real-world coordinates can be assigned.</w:t>
      </w:r>
    </w:p>
    <w:p>
      <w:pPr>
        <w:pStyle w:val="Heading1"/>
      </w:pPr>
      <w:r>
        <w:t>11. Names, Titles and Identity</w:t>
      </w:r>
    </w:p>
    <w:p>
      <w:pPr>
        <w:pStyle w:val="ListBullet"/>
      </w:pPr>
      <w:r>
        <w:t>Aliases, abbreviations, ranks and historical names should reference a stable entity ID.</w:t>
      </w:r>
    </w:p>
    <w:p>
      <w:pPr>
        <w:pStyle w:val="ListBullet"/>
      </w:pPr>
      <w:r>
        <w:t>Do not merge two similarly named entities without sufficient identity evidence.</w:t>
      </w:r>
    </w:p>
    <w:p>
      <w:pPr>
        <w:pStyle w:val="ListBullet"/>
      </w:pPr>
      <w:r>
        <w:t>Names may have temporal ranges and source scope.</w:t>
      </w:r>
    </w:p>
    <w:p>
      <w:pPr>
        <w:pStyle w:val="ListBullet"/>
      </w:pPr>
      <w:r>
        <w:t>Search may treat aliases as equivalent discovery terms while the data model preserves which name is canonical/display-preferred.</w:t>
      </w:r>
    </w:p>
    <w:p>
      <w:pPr>
        <w:pStyle w:val="ListBullet"/>
      </w:pPr>
      <w:r>
        <w:t>Potential duplicate matches generated by AI should be flagged for review, not automatically merged.</w:t>
      </w:r>
    </w:p>
    <w:p>
      <w:pPr>
        <w:pStyle w:val="Heading1"/>
      </w:pPr>
      <w:r>
        <w:t>12. Copyright-Aware Handling of Source Text</w:t>
      </w:r>
    </w:p>
    <w:p>
      <w:r>
        <w:t>The application should be architected so that it does not depend on redistribution of full copyrighted scripts, terminal logs, dialogue collections or other protected text.</w:t>
      </w:r>
    </w:p>
    <w:p>
      <w:pPr>
        <w:pStyle w:val="ListBullet"/>
      </w:pPr>
      <w:r>
        <w:t>Prefer source metadata and precise locators.</w:t>
      </w:r>
    </w:p>
    <w:p>
      <w:pPr>
        <w:pStyle w:val="ListBullet"/>
      </w:pPr>
      <w:r>
        <w:t>Use original project-written paraphrases for descriptive lore summaries.</w:t>
      </w:r>
    </w:p>
    <w:p>
      <w:pPr>
        <w:pStyle w:val="ListBullet"/>
      </w:pPr>
      <w:r>
        <w:t>Store short quotations only when there is a clear editorial reason and their use is legally appropriate.</w:t>
      </w:r>
    </w:p>
    <w:p>
      <w:pPr>
        <w:pStyle w:val="ListBullet"/>
      </w:pPr>
      <w:r>
        <w:t>Keep full-text ingestion used for internal research or transformation logically separable from distributable application data.</w:t>
      </w:r>
    </w:p>
    <w:p>
      <w:pPr>
        <w:pStyle w:val="ListBullet"/>
      </w:pPr>
      <w:r>
        <w:t>Track the licence of reused third-party text independently from the copyright status of underlying Fallout material.</w:t>
      </w:r>
    </w:p>
    <w:p>
      <w:pPr>
        <w:pStyle w:val="ListBullet"/>
      </w:pPr>
      <w:r>
        <w:t>Do not assume that all text or media on a wiki shares the same rights status.</w:t>
      </w:r>
    </w:p>
    <w:p>
      <w:pPr>
        <w:pStyle w:val="Heading1"/>
      </w:pPr>
      <w:r>
        <w:t>13. AI-Assisted Research and Ingestion Rules</w:t>
      </w:r>
    </w:p>
    <w:p>
      <w:pPr/>
      <w:r>
        <w:t>1. AI may discover candidate sources, but source URLs and references must be verified.</w:t>
      </w:r>
    </w:p>
    <w:p>
      <w:pPr/>
      <w:r>
        <w:t>2. AI may extract entities, dates and relationships, but uncertain mappings must be flagged.</w:t>
      </w:r>
    </w:p>
    <w:p>
      <w:pPr/>
      <w:r>
        <w:t>3. AI must not fill missing fields with plausible lore.</w:t>
      </w:r>
    </w:p>
    <w:p>
      <w:pPr/>
      <w:r>
        <w:t>4. AI-generated summaries must identify the evidence they are based on.</w:t>
      </w:r>
    </w:p>
    <w:p>
      <w:pPr/>
      <w:r>
        <w:t>5. Automated deduplication should produce candidates and confidence indicators, not irreversible merges.</w:t>
      </w:r>
    </w:p>
    <w:p>
      <w:pPr/>
      <w:r>
        <w:t>6. Bulk ingestion must run schema validation and referential-integrity checks.</w:t>
      </w:r>
    </w:p>
    <w:p>
      <w:pPr/>
      <w:r>
        <w:t>7. High-impact contradictions, entity merges and canon/status classifications should be reviewable by a human or a dedicated validation pass.</w:t>
      </w:r>
    </w:p>
    <w:p>
      <w:pPr/>
      <w:r>
        <w:t>8. Research prompts should instruct the model to distinguish primary evidence from wiki or fan summaries.</w:t>
      </w:r>
    </w:p>
    <w:p>
      <w:pPr>
        <w:pStyle w:val="Heading1"/>
      </w:pPr>
      <w:r>
        <w:t>14. Minimum Citation Standard for Dataset Entries</w:t>
      </w:r>
    </w:p>
    <w:p>
      <w:r>
        <w:t>The final exact rules depend on the schema, but the default target is:</w:t>
      </w:r>
    </w:p>
    <w:p>
      <w:pPr>
        <w:pStyle w:val="ListBullet"/>
      </w:pPr>
      <w:r>
        <w:t>Every substantive claim should have at least one source when a source can reasonably be identified.</w:t>
      </w:r>
    </w:p>
    <w:p>
      <w:pPr>
        <w:pStyle w:val="ListBullet"/>
      </w:pPr>
      <w:r>
        <w:t>Relationship records that encode lore should carry evidence where the relationship is not merely structural metadata.</w:t>
      </w:r>
    </w:p>
    <w:p>
      <w:pPr>
        <w:pStyle w:val="ListBullet"/>
      </w:pPr>
      <w:r>
        <w:t>Dates, deaths, affiliations, territorial control and other consequential facts should not rely solely on an uncited long-form summary.</w:t>
      </w:r>
    </w:p>
    <w:p>
      <w:pPr>
        <w:pStyle w:val="ListBullet"/>
      </w:pPr>
      <w:r>
        <w:t>A secondary source may be retained as a discovery/reference source even after primary evidence is added.</w:t>
      </w:r>
    </w:p>
    <w:p>
      <w:pPr>
        <w:pStyle w:val="ListBullet"/>
      </w:pPr>
      <w:r>
        <w:t>Unsourced candidate data should be explicitly marked incomplete and excluded from any 'confirmed only' presentation.</w:t>
      </w:r>
    </w:p>
    <w:p>
      <w:pPr>
        <w:pStyle w:val="Heading1"/>
      </w:pPr>
      <w:r>
        <w:t>15. Editorial Language</w:t>
      </w:r>
    </w:p>
    <w:p>
      <w:pPr>
        <w:pStyle w:val="ListBullet"/>
      </w:pPr>
      <w:r>
        <w:t>Use neutral language for disputed issues.</w:t>
      </w:r>
    </w:p>
    <w:p>
      <w:pPr>
        <w:pStyle w:val="ListBullet"/>
      </w:pPr>
      <w:r>
        <w:t>Separate 'the source states' from 'the project concludes'.</w:t>
      </w:r>
    </w:p>
    <w:p>
      <w:pPr>
        <w:pStyle w:val="ListBullet"/>
      </w:pPr>
      <w:r>
        <w:t>Avoid presenting common fan interpretation as settled fact.</w:t>
      </w:r>
    </w:p>
    <w:p>
      <w:pPr>
        <w:pStyle w:val="ListBullet"/>
      </w:pPr>
      <w:r>
        <w:t>Use explicit qualifiers such as approximately, implied, disputed or source-dependent when supported.</w:t>
      </w:r>
    </w:p>
    <w:p>
      <w:pPr>
        <w:pStyle w:val="ListBullet"/>
      </w:pPr>
      <w:r>
        <w:t>Do not overuse certainty labels where ordinary sourced facts are straightforward; qualification should clarify rather than clutter.</w:t>
      </w:r>
    </w:p>
    <w:p>
      <w:pPr>
        <w:pStyle w:val="Heading1"/>
      </w:pPr>
      <w:r>
        <w:t>16. Open Policy Questions</w:t>
      </w:r>
    </w:p>
    <w:p>
      <w:pPr>
        <w:pStyle w:val="ListBullet"/>
      </w:pPr>
      <w:r>
        <w:t>Final canonical/continuity taxonomy and naming.</w:t>
      </w:r>
    </w:p>
    <w:p>
      <w:pPr>
        <w:pStyle w:val="ListBullet"/>
      </w:pPr>
      <w:r>
        <w:t>Specific handling of Creation Club and related officially distributed content.</w:t>
      </w:r>
    </w:p>
    <w:p>
      <w:pPr>
        <w:pStyle w:val="ListBullet"/>
      </w:pPr>
      <w:r>
        <w:t>How television continuity is exposed alongside game material.</w:t>
      </w:r>
    </w:p>
    <w:p>
      <w:pPr>
        <w:pStyle w:val="ListBullet"/>
      </w:pPr>
      <w:r>
        <w:t>Whether Fallout Bible and developer commentary receive separate continuity/status axes.</w:t>
      </w:r>
    </w:p>
    <w:p>
      <w:pPr>
        <w:pStyle w:val="ListBullet"/>
      </w:pPr>
      <w:r>
        <w:t>Whether full source text is ever packaged as optional user-supplied data rather than distributed project content.</w:t>
      </w:r>
    </w:p>
    <w:p>
      <w:pPr>
        <w:pStyle w:val="ListBullet"/>
      </w:pPr>
      <w:r>
        <w:t>How much editorial interpretation belongs in the core dataset versus optional commentary.</w:t>
      </w:r>
    </w:p>
    <w:p>
      <w:pPr>
        <w:pStyle w:val="ListBullet"/>
      </w:pPr>
      <w:r>
        <w:t>Whether source reliability should be categorical, contextual, or omitted except where necessary.</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v0.1  |  16 August 2026</w:t>
    </w:r>
  </w:p>
  <w:p>
    <w:pP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sz w:val="16"/>
      </w:rPr>
      <w:t>Fallout Lore Archive  |  Lore &amp; Source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