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v3.14: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3.14 – Borrador. Sustituye al v3.13 (primera ronda de pruebas: ver Anexo M);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v3.14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2026-10-27T18:02:39.375Z</dcterms:created>
  <dcterms:modified xsi:type="dcterms:W3CDTF">2026-10-27T18:02:39.376Z</dcterms:modified>
</cp:coreProperties>
</file>

<file path=docProps/custom.xml><?xml version="1.0" encoding="utf-8"?>
<Properties xmlns="http://schemas.openxmlformats.org/officeDocument/2006/custom-properties" xmlns:vt="http://schemas.openxmlformats.org/officeDocument/2006/docPropsVTypes"/>
</file>