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v3.4: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3.4 – Borrador. Sustituye al v3.3 (cambios en el expediente: ver Anexo D);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construidos con un componente genérico reutilizable. En el MVP: Grupos de Conexión y vista general de Fase 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Distribución del estudio semanal dentro de la app, sustituyendo el envío por WhatsApp.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con captura sin conexión y sincronización posterior.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El Tesorero cuenta y avala la cifra con firma electrónica simple (usuario, fecha y hora, monto y reingreso de su PIN). Si su cifra difiere de la capturada, se registra la diferencia.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dinámico de peticiones de oración, con seguimiento pastoral.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visibles solo para Líder y roles superiores. Retención de 1 mes o tiempo configurable, con borrado automático.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de supervisión: dashboards de asistencia, ofrendas y crecimiento por grupo, según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v3.4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2026-10-06T02:15:30.201Z</dcterms:created>
  <dcterms:modified xsi:type="dcterms:W3CDTF">2026-10-06T02:15:30.201Z</dcterms:modified>
</cp:coreProperties>
</file>

<file path=docProps/custom.xml><?xml version="1.0" encoding="utf-8"?>
<Properties xmlns="http://schemas.openxmlformats.org/officeDocument/2006/custom-properties" xmlns:vt="http://schemas.openxmlformats.org/officeDocument/2006/docPropsVTypes"/>
</file>