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v3.5: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 Borrador. Sustituye al v3.4 (cambios en Grupos: ver Anexo E);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La captura sin conexión (NF-06) queda para la siguiente entrega.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El Tesorero cuenta y avala la cifra con firma electrónica simple (usuario, fecha y hora, monto y reingreso de su PIN). Si su cifra difiere de la capturada, se registra la diferencia.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v3.5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2026-10-25T02:37:15.328Z</dcterms:created>
  <dcterms:modified xsi:type="dcterms:W3CDTF">2026-10-25T02:37:15.329Z</dcterms:modified>
</cp:coreProperties>
</file>

<file path=docProps/custom.xml><?xml version="1.0" encoding="utf-8"?>
<Properties xmlns="http://schemas.openxmlformats.org/officeDocument/2006/custom-properties" xmlns:vt="http://schemas.openxmlformats.org/officeDocument/2006/docPropsVTypes"/>
</file>